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60" w:lineRule="exact"/>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关于修订（制定）</w:t>
      </w:r>
      <w:r>
        <w:rPr>
          <w:rFonts w:hint="eastAsia" w:ascii="宋体" w:hAnsi="宋体" w:cs="宋体"/>
          <w:b/>
          <w:sz w:val="44"/>
          <w:szCs w:val="44"/>
          <w:highlight w:val="none"/>
          <w:lang w:val="en-US" w:eastAsia="zh-CN"/>
        </w:rPr>
        <w:t>2022版</w:t>
      </w:r>
      <w:r>
        <w:rPr>
          <w:rFonts w:hint="eastAsia" w:ascii="宋体" w:hAnsi="宋体" w:eastAsia="宋体" w:cs="宋体"/>
          <w:b/>
          <w:sz w:val="44"/>
          <w:szCs w:val="44"/>
          <w:highlight w:val="none"/>
        </w:rPr>
        <w:t>研究生培养方案的</w:t>
      </w:r>
    </w:p>
    <w:p>
      <w:pPr>
        <w:spacing w:after="312" w:afterLines="100" w:line="560" w:lineRule="exact"/>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指导意见</w:t>
      </w:r>
    </w:p>
    <w:p>
      <w:pPr>
        <w:pStyle w:val="2"/>
        <w:bidi w:val="0"/>
        <w:ind w:firstLine="562" w:firstLineChars="200"/>
        <w:rPr>
          <w:rFonts w:hint="eastAsia"/>
          <w:highlight w:val="none"/>
          <w:lang w:val="en-US" w:eastAsia="zh-CN"/>
        </w:rPr>
      </w:pPr>
      <w:r>
        <w:rPr>
          <w:rFonts w:hint="eastAsia"/>
          <w:highlight w:val="none"/>
        </w:rPr>
        <w:t>一、</w:t>
      </w:r>
      <w:r>
        <w:rPr>
          <w:rFonts w:hint="eastAsia"/>
          <w:highlight w:val="none"/>
          <w:lang w:val="en-US" w:eastAsia="zh-CN"/>
        </w:rPr>
        <w:t>总体要求</w:t>
      </w:r>
    </w:p>
    <w:p>
      <w:pPr>
        <w:snapToGrid w:val="0"/>
        <w:spacing w:line="48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以习近平新时代中国特色社会主义思想为指导</w:t>
      </w:r>
      <w:r>
        <w:rPr>
          <w:rFonts w:hint="eastAsia" w:ascii="仿宋" w:hAnsi="仿宋" w:eastAsia="仿宋" w:cs="仿宋"/>
          <w:sz w:val="24"/>
          <w:szCs w:val="24"/>
          <w:highlight w:val="none"/>
          <w:lang w:eastAsia="zh-CN"/>
        </w:rPr>
        <w:t>，深入学习贯彻党的十九大和十九届二中、三中、四中、五中全会精神，</w:t>
      </w:r>
      <w:r>
        <w:rPr>
          <w:rFonts w:hint="eastAsia" w:ascii="仿宋" w:hAnsi="仿宋" w:eastAsia="仿宋" w:cs="仿宋"/>
          <w:sz w:val="24"/>
          <w:szCs w:val="24"/>
          <w:highlight w:val="none"/>
          <w:lang w:val="en-US" w:eastAsia="zh-CN"/>
        </w:rPr>
        <w:t>全面</w:t>
      </w:r>
      <w:r>
        <w:rPr>
          <w:rFonts w:hint="eastAsia" w:ascii="仿宋" w:hAnsi="仿宋" w:eastAsia="仿宋" w:cs="仿宋"/>
          <w:sz w:val="24"/>
          <w:szCs w:val="24"/>
          <w:highlight w:val="none"/>
          <w:lang w:eastAsia="zh-CN"/>
        </w:rPr>
        <w:t>贯彻落实全国教育大会和全国研究生教育会议精神，</w:t>
      </w:r>
      <w:r>
        <w:rPr>
          <w:rFonts w:hint="eastAsia" w:ascii="仿宋" w:hAnsi="仿宋" w:eastAsia="仿宋" w:cs="仿宋"/>
          <w:sz w:val="24"/>
          <w:szCs w:val="24"/>
          <w:highlight w:val="none"/>
          <w:lang w:val="en-US" w:eastAsia="zh-CN"/>
        </w:rPr>
        <w:t>以立德树人为根本任务，紧密结合国家与社会需求，以进一步提高培养质量为中心，推进课程思政，优化培养过程质量管理，强化科教融合、产学结合、学科融合，培养德智体美劳全面发展的高层次人才。</w:t>
      </w:r>
    </w:p>
    <w:p>
      <w:pPr>
        <w:pStyle w:val="2"/>
        <w:bidi w:val="0"/>
        <w:ind w:firstLine="562" w:firstLineChars="200"/>
        <w:rPr>
          <w:rFonts w:hint="eastAsia" w:ascii="Arial" w:hAnsi="Arial" w:cs="Times New Roman"/>
          <w:highlight w:val="none"/>
          <w:lang w:val="en-US" w:eastAsia="zh-CN"/>
        </w:rPr>
      </w:pPr>
      <w:r>
        <w:rPr>
          <w:rFonts w:hint="eastAsia" w:ascii="Arial" w:hAnsi="Arial" w:cs="Times New Roman"/>
          <w:highlight w:val="none"/>
          <w:lang w:val="en-US" w:eastAsia="zh-CN"/>
        </w:rPr>
        <w:t>二、文件依据</w:t>
      </w:r>
    </w:p>
    <w:p>
      <w:pPr>
        <w:snapToGrid w:val="0"/>
        <w:spacing w:line="48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深化新时代教育评价改革总体方案</w:t>
      </w:r>
      <w:r>
        <w:rPr>
          <w:rFonts w:hint="eastAsia" w:ascii="仿宋" w:hAnsi="仿宋" w:eastAsia="仿宋" w:cs="仿宋"/>
          <w:sz w:val="24"/>
          <w:szCs w:val="24"/>
          <w:highlight w:val="none"/>
          <w:lang w:eastAsia="zh-CN"/>
        </w:rPr>
        <w:t>》（中发〔2020〕19号）；</w:t>
      </w:r>
    </w:p>
    <w:p>
      <w:pPr>
        <w:snapToGrid w:val="0"/>
        <w:spacing w:line="48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）《关于全面加强和改进新时代学校体育工作的意见》（中办发〔2020〕36号）；</w:t>
      </w:r>
    </w:p>
    <w:p>
      <w:pPr>
        <w:snapToGrid w:val="0"/>
        <w:spacing w:line="48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lang w:eastAsia="zh-CN"/>
        </w:rPr>
        <w:t>）《关于全面加强和改进新时代学校美育工作的意见》（中办发〔2020〕36号）；</w:t>
      </w:r>
    </w:p>
    <w:p>
      <w:pPr>
        <w:snapToGrid w:val="0"/>
        <w:spacing w:line="48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lang w:eastAsia="zh-CN"/>
        </w:rPr>
        <w:t>）《关于全面加强新时代大中小学劳动教育的意见》（中发〔2020〕7号）；</w:t>
      </w:r>
    </w:p>
    <w:p>
      <w:pPr>
        <w:snapToGrid w:val="0"/>
        <w:spacing w:line="48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关于深化新时代学校思想政治理论课改革创新的若干意见</w:t>
      </w:r>
      <w:r>
        <w:rPr>
          <w:rFonts w:hint="eastAsia" w:ascii="仿宋" w:hAnsi="仿宋" w:eastAsia="仿宋" w:cs="仿宋"/>
          <w:sz w:val="24"/>
          <w:szCs w:val="24"/>
          <w:highlight w:val="none"/>
          <w:lang w:eastAsia="zh-CN"/>
        </w:rPr>
        <w:t>》（中办发〔2019〕47号）；</w:t>
      </w:r>
    </w:p>
    <w:p>
      <w:pPr>
        <w:snapToGrid w:val="0"/>
        <w:spacing w:line="48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《关于加快新时代研究生教育改革发展的意见》（教研〔2020〕9号）</w:t>
      </w:r>
      <w:r>
        <w:rPr>
          <w:rFonts w:hint="eastAsia" w:ascii="仿宋" w:hAnsi="仿宋" w:eastAsia="仿宋" w:cs="仿宋"/>
          <w:sz w:val="24"/>
          <w:szCs w:val="24"/>
          <w:highlight w:val="none"/>
          <w:lang w:eastAsia="zh-CN"/>
        </w:rPr>
        <w:t>；</w:t>
      </w:r>
    </w:p>
    <w:p>
      <w:pPr>
        <w:snapToGrid w:val="0"/>
        <w:spacing w:line="48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《关于进一步严格规范学位与研究生教育质量管理的若干意见》（学位〔2020〕19号）</w:t>
      </w:r>
      <w:r>
        <w:rPr>
          <w:rFonts w:hint="eastAsia" w:ascii="仿宋" w:hAnsi="仿宋" w:eastAsia="仿宋" w:cs="仿宋"/>
          <w:sz w:val="24"/>
          <w:szCs w:val="24"/>
          <w:highlight w:val="none"/>
          <w:lang w:eastAsia="zh-CN"/>
        </w:rPr>
        <w:t>；</w:t>
      </w:r>
    </w:p>
    <w:p>
      <w:pPr>
        <w:snapToGrid w:val="0"/>
        <w:spacing w:line="48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《专业学位研究生教育发展方案（2020-2025）》</w:t>
      </w:r>
      <w:r>
        <w:rPr>
          <w:rFonts w:hint="eastAsia" w:ascii="仿宋" w:hAnsi="仿宋" w:eastAsia="仿宋" w:cs="仿宋"/>
          <w:sz w:val="24"/>
          <w:szCs w:val="24"/>
          <w:highlight w:val="none"/>
          <w:lang w:eastAsia="zh-CN"/>
        </w:rPr>
        <w:t>（学位〔2020〕20号）；</w:t>
      </w:r>
    </w:p>
    <w:p>
      <w:pPr>
        <w:snapToGrid w:val="0"/>
        <w:spacing w:line="48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《关于推进习近平法治思想纳入高校法治理论教学体系的通知》</w:t>
      </w:r>
      <w:r>
        <w:rPr>
          <w:rFonts w:hint="eastAsia" w:ascii="仿宋" w:hAnsi="仿宋" w:eastAsia="仿宋" w:cs="仿宋"/>
          <w:sz w:val="24"/>
          <w:szCs w:val="24"/>
          <w:highlight w:val="none"/>
          <w:lang w:eastAsia="zh-CN"/>
        </w:rPr>
        <w:t>（教高厅函〔2021〕17号）；</w:t>
      </w:r>
    </w:p>
    <w:p>
      <w:pPr>
        <w:snapToGrid w:val="0"/>
        <w:spacing w:line="48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《新时代学校思想政治理论课改革创新实施方案》</w:t>
      </w:r>
      <w:r>
        <w:rPr>
          <w:rFonts w:hint="eastAsia" w:ascii="仿宋" w:hAnsi="仿宋" w:eastAsia="仿宋" w:cs="仿宋"/>
          <w:sz w:val="24"/>
          <w:szCs w:val="24"/>
          <w:highlight w:val="none"/>
          <w:lang w:eastAsia="zh-CN"/>
        </w:rPr>
        <w:t>（教材〔2020〕6号）；</w:t>
      </w:r>
    </w:p>
    <w:p>
      <w:pPr>
        <w:snapToGrid w:val="0"/>
        <w:spacing w:line="48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十一</w:t>
      </w:r>
      <w:r>
        <w:rPr>
          <w:rFonts w:hint="eastAsia" w:ascii="仿宋" w:hAnsi="仿宋" w:eastAsia="仿宋" w:cs="仿宋"/>
          <w:sz w:val="24"/>
          <w:szCs w:val="24"/>
          <w:highlight w:val="none"/>
          <w:lang w:eastAsia="zh-CN"/>
        </w:rPr>
        <w:t>）《高等学校课程思政建设指导纲要》（教高〔2020〕3号）；</w:t>
      </w:r>
    </w:p>
    <w:p>
      <w:pPr>
        <w:snapToGrid w:val="0"/>
        <w:spacing w:line="48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十二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《关于破除高校哲学社会科学研究评价中“唯论文”不良导向的若干意见》</w:t>
      </w:r>
      <w:r>
        <w:rPr>
          <w:rFonts w:hint="eastAsia" w:ascii="仿宋" w:hAnsi="仿宋" w:eastAsia="仿宋" w:cs="仿宋"/>
          <w:sz w:val="24"/>
          <w:szCs w:val="24"/>
          <w:highlight w:val="none"/>
          <w:lang w:eastAsia="zh-CN"/>
        </w:rPr>
        <w:t>（教社科〔2020〕3号）；</w:t>
      </w:r>
    </w:p>
    <w:p>
      <w:pPr>
        <w:snapToGrid w:val="0"/>
        <w:spacing w:line="48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十三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《中南财经政法大学研究生教学规程（试行）》（中南大研字〔2018〕20号）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《中南财经政法大学博士研究生培养管理办法》（中南大研字〔2021〕10号）和《中南财经政法大学硕士研究生培养管理办法》（中南大研字〔2021〕9号）等校内研究生培养管理文件</w:t>
      </w:r>
      <w:r>
        <w:rPr>
          <w:rFonts w:hint="eastAsia" w:ascii="仿宋" w:hAnsi="仿宋" w:eastAsia="仿宋" w:cs="仿宋"/>
          <w:sz w:val="24"/>
          <w:szCs w:val="24"/>
          <w:highlight w:val="none"/>
          <w:lang w:eastAsia="zh-CN"/>
        </w:rPr>
        <w:t>；</w:t>
      </w:r>
    </w:p>
    <w:p>
      <w:pPr>
        <w:snapToGrid w:val="0"/>
        <w:spacing w:line="48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十四</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"https://oa.zuel.edu.cn/General/Zhbg_Xzfw_gl/2" \o "关于印发《中南财经政法大学外国留学研究生培养与学位管理实施办法》的通知"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中南财经政法大学外国留学研究生培养与学位管理实施办法</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中南大研字〔2015〕32号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等留学生培养管理文件。</w:t>
      </w:r>
    </w:p>
    <w:p>
      <w:pPr>
        <w:pStyle w:val="2"/>
        <w:bidi w:val="0"/>
        <w:ind w:firstLine="562" w:firstLineChars="200"/>
        <w:rPr>
          <w:rFonts w:hint="eastAsia" w:ascii="Arial" w:hAnsi="Arial" w:cs="Times New Roman"/>
          <w:highlight w:val="none"/>
          <w:lang w:val="en-US" w:eastAsia="zh-CN"/>
        </w:rPr>
      </w:pPr>
      <w:r>
        <w:rPr>
          <w:rFonts w:hint="eastAsia" w:ascii="Arial" w:hAnsi="Arial" w:cs="Times New Roman"/>
          <w:highlight w:val="none"/>
          <w:lang w:val="en-US" w:eastAsia="zh-CN"/>
        </w:rPr>
        <w:t>三、基本原则</w:t>
      </w:r>
    </w:p>
    <w:p>
      <w:pPr>
        <w:snapToGrid w:val="0"/>
        <w:spacing w:line="48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（一）一级学科原则：原则上按照一级学科修订（制定）培养方案。具有一级学科授权的学科专业，相同类型相同一级学科研究生学位课程中的公共课和学科基础课要相同。</w:t>
      </w:r>
    </w:p>
    <w:p>
      <w:pPr>
        <w:snapToGrid w:val="0"/>
        <w:spacing w:line="48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（二）同步原则：同时具有博士（含</w:t>
      </w:r>
      <w:r>
        <w:rPr>
          <w:rFonts w:hint="eastAsia" w:ascii="仿宋" w:hAnsi="仿宋" w:eastAsia="仿宋" w:cs="仿宋"/>
          <w:sz w:val="24"/>
          <w:szCs w:val="24"/>
          <w:highlight w:val="none"/>
          <w:lang w:val="en-US" w:eastAsia="zh-CN"/>
        </w:rPr>
        <w:t>国际</w:t>
      </w:r>
      <w:r>
        <w:rPr>
          <w:rFonts w:hint="eastAsia" w:ascii="仿宋" w:hAnsi="仿宋" w:eastAsia="仿宋" w:cs="仿宋"/>
          <w:sz w:val="24"/>
          <w:szCs w:val="24"/>
          <w:highlight w:val="none"/>
        </w:rPr>
        <w:t>学生）、硕士（含</w:t>
      </w:r>
      <w:r>
        <w:rPr>
          <w:rFonts w:hint="eastAsia" w:ascii="仿宋" w:hAnsi="仿宋" w:eastAsia="仿宋" w:cs="仿宋"/>
          <w:sz w:val="24"/>
          <w:szCs w:val="24"/>
          <w:highlight w:val="none"/>
          <w:lang w:val="en-US" w:eastAsia="zh-CN"/>
        </w:rPr>
        <w:t>国际</w:t>
      </w:r>
      <w:r>
        <w:rPr>
          <w:rFonts w:hint="eastAsia" w:ascii="仿宋" w:hAnsi="仿宋" w:eastAsia="仿宋" w:cs="仿宋"/>
          <w:sz w:val="24"/>
          <w:szCs w:val="24"/>
          <w:highlight w:val="none"/>
        </w:rPr>
        <w:t>学生）学位授予权的学科专业，要同步修订（制定）博士生（含</w:t>
      </w:r>
      <w:r>
        <w:rPr>
          <w:rFonts w:hint="eastAsia" w:ascii="仿宋" w:hAnsi="仿宋" w:eastAsia="仿宋" w:cs="仿宋"/>
          <w:sz w:val="24"/>
          <w:szCs w:val="24"/>
          <w:highlight w:val="none"/>
          <w:lang w:val="en-US" w:eastAsia="zh-CN"/>
        </w:rPr>
        <w:t>国际</w:t>
      </w:r>
      <w:r>
        <w:rPr>
          <w:rFonts w:hint="eastAsia" w:ascii="仿宋" w:hAnsi="仿宋" w:eastAsia="仿宋" w:cs="仿宋"/>
          <w:sz w:val="24"/>
          <w:szCs w:val="24"/>
          <w:highlight w:val="none"/>
        </w:rPr>
        <w:t>学生）、硕士生（含</w:t>
      </w:r>
      <w:r>
        <w:rPr>
          <w:rFonts w:hint="eastAsia" w:ascii="仿宋" w:hAnsi="仿宋" w:eastAsia="仿宋" w:cs="仿宋"/>
          <w:sz w:val="24"/>
          <w:szCs w:val="24"/>
          <w:highlight w:val="none"/>
          <w:lang w:val="en-US" w:eastAsia="zh-CN"/>
        </w:rPr>
        <w:t>国际</w:t>
      </w:r>
      <w:r>
        <w:rPr>
          <w:rFonts w:hint="eastAsia" w:ascii="仿宋" w:hAnsi="仿宋" w:eastAsia="仿宋" w:cs="仿宋"/>
          <w:sz w:val="24"/>
          <w:szCs w:val="24"/>
          <w:highlight w:val="none"/>
        </w:rPr>
        <w:t>学生）的培养方案。需要处理好相同学科博士、硕士学位点的培养方案课程间的衔接关系，明确不同层次的培养要求。</w:t>
      </w:r>
    </w:p>
    <w:p>
      <w:pPr>
        <w:snapToGrid w:val="0"/>
        <w:spacing w:line="48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（三）质量原则：所有类型研究生的培养方案，其课程设置和培养环节的具体要求</w:t>
      </w:r>
      <w:r>
        <w:rPr>
          <w:rFonts w:hint="eastAsia" w:ascii="仿宋" w:hAnsi="仿宋" w:eastAsia="仿宋" w:cs="仿宋"/>
          <w:sz w:val="24"/>
          <w:szCs w:val="24"/>
          <w:highlight w:val="none"/>
          <w:lang w:val="en-US" w:eastAsia="zh-CN"/>
        </w:rPr>
        <w:t>应对标“双一流”建设任务，</w:t>
      </w:r>
      <w:r>
        <w:rPr>
          <w:rFonts w:hint="eastAsia" w:ascii="仿宋" w:hAnsi="仿宋" w:eastAsia="仿宋" w:cs="仿宋"/>
          <w:sz w:val="24"/>
          <w:szCs w:val="24"/>
          <w:highlight w:val="none"/>
        </w:rPr>
        <w:t>以提高研究生的培养质量为核心。学术型研究生必须着重培养研究能力和创新能力，专业学位研究生必须着重培养实践能力和职业能力。专业学位研究生培养方案的修订工作应有相关行（企）业专家参与。</w:t>
      </w:r>
    </w:p>
    <w:p>
      <w:pPr>
        <w:snapToGrid w:val="0"/>
        <w:spacing w:line="480" w:lineRule="exact"/>
        <w:ind w:firstLine="480" w:firstLineChars="2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（四）高水平原则：以高水平、国际化为理念，各培养单位应当充分利用我校高标准课程体系建设项目成果、吸收借鉴国内外先进的研究生培养经验和管理模式，优化和规范研究生培养过程。</w:t>
      </w:r>
      <w:r>
        <w:rPr>
          <w:rFonts w:hint="eastAsia" w:ascii="仿宋" w:hAnsi="仿宋" w:eastAsia="仿宋" w:cs="仿宋"/>
          <w:sz w:val="24"/>
          <w:szCs w:val="24"/>
          <w:highlight w:val="none"/>
          <w:lang w:val="en-US" w:eastAsia="zh-CN"/>
        </w:rPr>
        <w:t>思政课程与课程思政同向同行，充分发挥课堂的育人功能。</w:t>
      </w:r>
    </w:p>
    <w:p>
      <w:pPr>
        <w:snapToGrid w:val="0"/>
        <w:spacing w:line="48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w:t>
      </w:r>
      <w:r>
        <w:rPr>
          <w:rFonts w:hint="eastAsia" w:ascii="仿宋" w:hAnsi="仿宋" w:eastAsia="仿宋" w:cs="仿宋"/>
          <w:sz w:val="24"/>
          <w:szCs w:val="24"/>
          <w:highlight w:val="none"/>
          <w:lang w:val="en-US" w:eastAsia="zh-CN"/>
        </w:rPr>
        <w:t>学科融合</w:t>
      </w:r>
      <w:r>
        <w:rPr>
          <w:rFonts w:hint="eastAsia" w:ascii="仿宋" w:hAnsi="仿宋" w:eastAsia="仿宋" w:cs="仿宋"/>
          <w:sz w:val="24"/>
          <w:szCs w:val="24"/>
          <w:highlight w:val="none"/>
        </w:rPr>
        <w:t>原则：鼓励</w:t>
      </w:r>
      <w:r>
        <w:rPr>
          <w:rFonts w:hint="eastAsia" w:ascii="仿宋" w:hAnsi="仿宋" w:eastAsia="仿宋" w:cs="仿宋"/>
          <w:sz w:val="24"/>
          <w:szCs w:val="24"/>
          <w:highlight w:val="none"/>
          <w:lang w:val="en-US" w:eastAsia="zh-CN"/>
        </w:rPr>
        <w:t>打破学科和学院的界限，</w:t>
      </w:r>
      <w:r>
        <w:rPr>
          <w:rFonts w:hint="eastAsia" w:ascii="仿宋" w:hAnsi="仿宋" w:eastAsia="仿宋" w:cs="仿宋"/>
          <w:sz w:val="24"/>
          <w:szCs w:val="24"/>
          <w:highlight w:val="none"/>
        </w:rPr>
        <w:t>在课程</w:t>
      </w:r>
      <w:r>
        <w:rPr>
          <w:rFonts w:hint="eastAsia" w:ascii="仿宋" w:hAnsi="仿宋" w:eastAsia="仿宋" w:cs="仿宋"/>
          <w:sz w:val="24"/>
          <w:szCs w:val="24"/>
          <w:highlight w:val="none"/>
          <w:lang w:val="en-US" w:eastAsia="zh-CN"/>
        </w:rPr>
        <w:t>设置</w:t>
      </w:r>
      <w:r>
        <w:rPr>
          <w:rFonts w:hint="eastAsia" w:ascii="仿宋" w:hAnsi="仿宋" w:eastAsia="仿宋" w:cs="仿宋"/>
          <w:sz w:val="24"/>
          <w:szCs w:val="24"/>
          <w:highlight w:val="none"/>
        </w:rPr>
        <w:t>、培养过程、导师指导等方面应当切实体现学科交叉融合的优势，拓宽研究生学术</w:t>
      </w:r>
      <w:r>
        <w:rPr>
          <w:rFonts w:hint="eastAsia" w:ascii="仿宋" w:hAnsi="仿宋" w:eastAsia="仿宋" w:cs="仿宋"/>
          <w:sz w:val="24"/>
          <w:szCs w:val="24"/>
          <w:highlight w:val="none"/>
          <w:lang w:val="en-US" w:eastAsia="zh-CN"/>
        </w:rPr>
        <w:t>与实践</w:t>
      </w:r>
      <w:r>
        <w:rPr>
          <w:rFonts w:hint="eastAsia" w:ascii="仿宋" w:hAnsi="仿宋" w:eastAsia="仿宋" w:cs="仿宋"/>
          <w:sz w:val="24"/>
          <w:szCs w:val="24"/>
          <w:highlight w:val="none"/>
        </w:rPr>
        <w:t>视野，激发创新思维。</w:t>
      </w:r>
    </w:p>
    <w:p>
      <w:pPr>
        <w:snapToGrid w:val="0"/>
        <w:spacing w:line="48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（六）归口原则：对于在两个及以上单位共同招收和培养研究生的学科专业，由学科负责单位牵头，相关单位参与，共同讨论后修订（制定）培养方案。</w:t>
      </w:r>
    </w:p>
    <w:p>
      <w:pPr>
        <w:pStyle w:val="2"/>
        <w:bidi w:val="0"/>
        <w:ind w:firstLine="562" w:firstLineChars="200"/>
        <w:rPr>
          <w:rFonts w:hint="eastAsia" w:ascii="Arial" w:hAnsi="Arial" w:cs="Times New Roman"/>
          <w:highlight w:val="none"/>
          <w:lang w:val="en-US" w:eastAsia="zh-CN"/>
        </w:rPr>
      </w:pPr>
      <w:r>
        <w:rPr>
          <w:rFonts w:hint="eastAsia" w:ascii="Arial" w:hAnsi="Arial" w:cs="Times New Roman"/>
          <w:highlight w:val="none"/>
          <w:lang w:val="en-US" w:eastAsia="zh-CN"/>
        </w:rPr>
        <w:t>四、本次修订（制定）的重点内容</w:t>
      </w:r>
    </w:p>
    <w:p>
      <w:pPr>
        <w:snapToGrid w:val="0"/>
        <w:spacing w:line="480" w:lineRule="exact"/>
        <w:ind w:firstLine="482" w:firstLineChars="200"/>
        <w:jc w:val="left"/>
        <w:rPr>
          <w:rFonts w:hint="eastAsia"/>
          <w:sz w:val="21"/>
          <w:szCs w:val="21"/>
          <w:highlight w:val="none"/>
          <w:lang w:val="en-US" w:eastAsia="zh-CN"/>
        </w:rPr>
      </w:pPr>
      <w:r>
        <w:rPr>
          <w:rFonts w:hint="eastAsia" w:ascii="仿宋" w:hAnsi="仿宋" w:eastAsia="仿宋" w:cs="仿宋"/>
          <w:b/>
          <w:bCs/>
          <w:sz w:val="24"/>
          <w:szCs w:val="24"/>
          <w:highlight w:val="none"/>
          <w:lang w:val="en-US" w:eastAsia="zh-CN"/>
        </w:rPr>
        <w:t>（一）凝练核心课程：</w:t>
      </w:r>
      <w:r>
        <w:rPr>
          <w:rFonts w:hint="eastAsia" w:ascii="仿宋" w:hAnsi="仿宋" w:eastAsia="仿宋" w:cs="仿宋"/>
          <w:sz w:val="24"/>
          <w:szCs w:val="24"/>
          <w:highlight w:val="none"/>
          <w:lang w:val="en-US" w:eastAsia="zh-CN"/>
        </w:rPr>
        <w:t>对照国务院学位委员会学科评议组编写的《学术学位研究生核心课程指南（试行）》和全国专业学位研究生教育指导委员会编写的《专业学位研究生核心课程指南（试行）》（附件7），充分发挥核心课程指导性作用，优化研究生课程体系、规范课程设计和教学内容、教学方式。</w:t>
      </w:r>
    </w:p>
    <w:p>
      <w:pPr>
        <w:snapToGrid w:val="0"/>
        <w:spacing w:line="480" w:lineRule="exact"/>
        <w:ind w:firstLine="482" w:firstLineChars="200"/>
        <w:jc w:val="left"/>
        <w:rPr>
          <w:rFonts w:hint="default"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（二）</w:t>
      </w:r>
      <w:r>
        <w:rPr>
          <w:rFonts w:hint="default" w:ascii="仿宋" w:hAnsi="仿宋" w:eastAsia="仿宋" w:cs="仿宋"/>
          <w:b/>
          <w:bCs/>
          <w:sz w:val="24"/>
          <w:szCs w:val="24"/>
          <w:highlight w:val="none"/>
          <w:lang w:val="en-US" w:eastAsia="zh-CN"/>
        </w:rPr>
        <w:t>推进习近平法治思想进教材、进课堂、进头脑</w:t>
      </w:r>
      <w:r>
        <w:rPr>
          <w:rFonts w:hint="eastAsia" w:ascii="仿宋" w:hAnsi="仿宋" w:eastAsia="仿宋" w:cs="仿宋"/>
          <w:b/>
          <w:bCs/>
          <w:sz w:val="24"/>
          <w:szCs w:val="24"/>
          <w:highlight w:val="none"/>
          <w:lang w:val="en-US" w:eastAsia="zh-CN"/>
        </w:rPr>
        <w:t>：</w:t>
      </w:r>
      <w:r>
        <w:rPr>
          <w:rFonts w:hint="eastAsia" w:ascii="仿宋" w:hAnsi="仿宋" w:eastAsia="仿宋" w:cs="仿宋"/>
          <w:sz w:val="24"/>
          <w:szCs w:val="24"/>
          <w:highlight w:val="none"/>
          <w:lang w:val="en-US" w:eastAsia="zh-CN"/>
        </w:rPr>
        <w:t>法学类各专业必须开设习近平法治思想相关专业必修课，并将习近平法治思想的核心要义、精神实质、丰富内涵、实践要求贯穿于各专业课程，将社会主义法治建设的成就经验转化为优质教学资源，更新教学内容、完善知识体系、改进教学方法、提高教学水平。鼓励支持有条件的培养单位面向全校研究生开设习近平法治思想相关公共选修课，相关课程将在研究生教育教学改革项目中予以优先建设。</w:t>
      </w:r>
    </w:p>
    <w:p>
      <w:pPr>
        <w:snapToGrid w:val="0"/>
        <w:spacing w:line="480" w:lineRule="exact"/>
        <w:ind w:firstLine="482" w:firstLineChars="200"/>
        <w:jc w:val="left"/>
        <w:rPr>
          <w:rFonts w:hint="default"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（三）完善体育美育劳育：</w:t>
      </w:r>
      <w:r>
        <w:rPr>
          <w:rFonts w:hint="eastAsia" w:ascii="仿宋" w:hAnsi="仿宋" w:eastAsia="仿宋" w:cs="仿宋"/>
          <w:sz w:val="24"/>
          <w:szCs w:val="24"/>
          <w:highlight w:val="none"/>
          <w:lang w:val="en-US" w:eastAsia="zh-CN"/>
        </w:rPr>
        <w:t>开好体育、美育、劳育类研究生课程，一是在开好现有研究生体育课程的基础上，进一步丰富研究生体育课程教学内容，扩大体育课程覆盖面；二是面向全校研究生开设艺术美育类线上课程，从2022级起，硕博研究生（不含国际学生）应至少修读1门艺术美育类公共选修课，获得相应学分后方能毕业，国际学生硕博研究生通过参加文化实践活动开展美育教育；三是完善劳动教育课程，在公共必修课中强化马克思主义劳动观教育、劳动相关法律法规与政策教育，在专业课中强化职业伦理教育、创新创业教育，提升研究生分析与解决实际问题的能力。</w:t>
      </w:r>
    </w:p>
    <w:p>
      <w:pPr>
        <w:snapToGrid w:val="0"/>
        <w:spacing w:line="480" w:lineRule="exact"/>
        <w:ind w:firstLine="482" w:firstLineChars="200"/>
        <w:jc w:val="left"/>
        <w:rPr>
          <w:rFonts w:hint="default"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（四）优化博士研究生科研能力提升：</w:t>
      </w:r>
      <w:r>
        <w:rPr>
          <w:rFonts w:hint="eastAsia" w:ascii="仿宋" w:hAnsi="仿宋" w:eastAsia="仿宋" w:cs="仿宋"/>
          <w:sz w:val="24"/>
          <w:szCs w:val="24"/>
          <w:highlight w:val="none"/>
          <w:lang w:val="en-US" w:eastAsia="zh-CN"/>
        </w:rPr>
        <w:t>学术学位研究生除完成课程修读任务外，还需完成综合素质与学术能力训练，包括广泛的文献阅读、助教与助研经历、主持或参与科研项目经历、参加高水平学术会议、取得较高水平的科研成果等。培养单位应结合学科专业特点，明确综合素质与学术能力训练的具体内容，写入专业培养方案。</w:t>
      </w:r>
    </w:p>
    <w:p>
      <w:pPr>
        <w:snapToGrid w:val="0"/>
        <w:spacing w:line="480" w:lineRule="exact"/>
        <w:ind w:firstLine="482" w:firstLineChars="200"/>
        <w:jc w:val="left"/>
        <w:rPr>
          <w:rFonts w:hint="default"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（五）强化专业学位硕士研究生实践能力训练：</w:t>
      </w:r>
      <w:r>
        <w:rPr>
          <w:rFonts w:hint="eastAsia" w:ascii="仿宋" w:hAnsi="仿宋" w:eastAsia="仿宋" w:cs="仿宋"/>
          <w:sz w:val="24"/>
          <w:szCs w:val="24"/>
          <w:highlight w:val="none"/>
          <w:lang w:val="en-US" w:eastAsia="zh-CN"/>
        </w:rPr>
        <w:t>按照教育部相关文件和各全国专业学位研究生教育指导委员会要求，落实学校《研究生实习实践管理办法》，构建多元化、多层次、多形式的校企协同创新的联合培养机制。专业学位研究生在学期间，必须保证不少于半年的实践教学，可采用集中实践与分段实践相结合的方式；应届本科毕业生的实践教学时间原则上不少于1年。</w:t>
      </w:r>
      <w:r>
        <w:rPr>
          <w:rFonts w:hint="eastAsia" w:ascii="仿宋" w:hAnsi="仿宋" w:eastAsia="仿宋" w:cs="仿宋"/>
          <w:b/>
          <w:bCs/>
          <w:sz w:val="24"/>
          <w:szCs w:val="24"/>
          <w:highlight w:val="none"/>
          <w:lang w:val="en-US" w:eastAsia="zh-CN"/>
        </w:rPr>
        <w:t>各全国专业学位研究生教育指导委员会另有规定的，按其规定执行。</w:t>
      </w:r>
      <w:r>
        <w:rPr>
          <w:rFonts w:hint="eastAsia" w:ascii="仿宋" w:hAnsi="仿宋" w:eastAsia="仿宋" w:cs="仿宋"/>
          <w:sz w:val="24"/>
          <w:szCs w:val="24"/>
          <w:highlight w:val="none"/>
          <w:lang w:val="en-US" w:eastAsia="zh-CN"/>
        </w:rPr>
        <w:t>行业专家应参与到专业学位研究生培养方案制定、课程开设、实践指导等环节。</w:t>
      </w:r>
    </w:p>
    <w:p>
      <w:pPr>
        <w:snapToGrid w:val="0"/>
        <w:spacing w:line="480" w:lineRule="exact"/>
        <w:ind w:firstLine="482" w:firstLineChars="200"/>
        <w:jc w:val="left"/>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（六）优化博士研究生学分结构：</w:t>
      </w:r>
      <w:r>
        <w:rPr>
          <w:rFonts w:hint="eastAsia" w:ascii="仿宋" w:hAnsi="仿宋" w:eastAsia="仿宋" w:cs="仿宋"/>
          <w:sz w:val="24"/>
          <w:szCs w:val="24"/>
          <w:highlight w:val="none"/>
          <w:lang w:val="en-US" w:eastAsia="zh-CN"/>
        </w:rPr>
        <w:t>将博士研究生课程总学分要求由24学分降至18学分，同时强化科研学术能力训练。其中，思想政治理论课（2门共3学分）、第一外国语课（3学分）、公共选修课（2学分）学分要求保持不变（国际学生公共必修课学分要求保持不变），学科基础课和专业课总学分要求由16学分降至10学分。各专业可结合实际需求确定专业课门数，适当增加总学分。</w:t>
      </w:r>
    </w:p>
    <w:p>
      <w:pPr>
        <w:snapToGrid w:val="0"/>
        <w:spacing w:line="480" w:lineRule="exact"/>
        <w:ind w:firstLine="482" w:firstLineChars="200"/>
        <w:jc w:val="left"/>
        <w:rPr>
          <w:rFonts w:hint="default"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（七）明确过程考核标准：</w:t>
      </w:r>
      <w:r>
        <w:rPr>
          <w:rFonts w:hint="eastAsia" w:ascii="仿宋" w:hAnsi="仿宋" w:eastAsia="仿宋" w:cs="仿宋"/>
          <w:sz w:val="24"/>
          <w:szCs w:val="24"/>
          <w:highlight w:val="none"/>
          <w:lang w:val="en-US" w:eastAsia="zh-CN"/>
        </w:rPr>
        <w:t>突出质量导向，进一步明确研究生在入学教育、创新创业、社会实践、中期考核（博士）、学术/实践能力训练等各环节应完成的内容和考核标准。其中，博士研究生培养方案中应按照《深化新时代教育评价改革总体方案》（中发﹝2020﹞19号）和《关于规范高等学校SCI论文相关指标使用 树立正确评价导向的若干意见》（教科技〔2020〕2号）要求，明确申请博士毕业资格的代表性学术成果类型及标准。</w:t>
      </w:r>
    </w:p>
    <w:p>
      <w:pPr>
        <w:snapToGrid w:val="0"/>
        <w:spacing w:line="480" w:lineRule="exact"/>
        <w:ind w:firstLine="482" w:firstLineChars="200"/>
        <w:jc w:val="left"/>
        <w:rPr>
          <w:rFonts w:hint="default"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（八）推进学术道德教育：</w:t>
      </w:r>
      <w:r>
        <w:rPr>
          <w:rFonts w:hint="eastAsia" w:ascii="仿宋" w:hAnsi="仿宋" w:eastAsia="仿宋" w:cs="仿宋"/>
          <w:sz w:val="24"/>
          <w:szCs w:val="24"/>
          <w:highlight w:val="none"/>
          <w:lang w:val="en-US" w:eastAsia="zh-CN"/>
        </w:rPr>
        <w:t>将学术道德、学术伦理和学术规范要求写进培养方案，论文写作类课程应加强对相关内容的讲授，并写进课程教学大纲。继续实行课程试卷抽检制度，培养研究生学术规范意识。</w:t>
      </w:r>
    </w:p>
    <w:p>
      <w:pPr>
        <w:snapToGrid w:val="0"/>
        <w:spacing w:line="480" w:lineRule="exact"/>
        <w:ind w:firstLine="482" w:firstLineChars="200"/>
        <w:jc w:val="left"/>
        <w:rPr>
          <w:rFonts w:hint="default"/>
          <w:sz w:val="21"/>
          <w:szCs w:val="21"/>
          <w:highlight w:val="none"/>
          <w:lang w:val="en-US" w:eastAsia="zh-CN"/>
        </w:rPr>
      </w:pPr>
      <w:r>
        <w:rPr>
          <w:rFonts w:hint="eastAsia" w:ascii="仿宋" w:hAnsi="仿宋" w:eastAsia="仿宋" w:cs="仿宋"/>
          <w:b/>
          <w:bCs/>
          <w:sz w:val="24"/>
          <w:szCs w:val="24"/>
          <w:highlight w:val="none"/>
          <w:lang w:val="en-US" w:eastAsia="zh-CN"/>
        </w:rPr>
        <w:t>（九）新增直博生培养方案：</w:t>
      </w:r>
      <w:r>
        <w:rPr>
          <w:rFonts w:hint="eastAsia" w:ascii="仿宋" w:hAnsi="仿宋" w:eastAsia="仿宋" w:cs="仿宋"/>
          <w:sz w:val="24"/>
          <w:szCs w:val="24"/>
          <w:highlight w:val="none"/>
          <w:lang w:val="en-US" w:eastAsia="zh-CN"/>
        </w:rPr>
        <w:t>拟在2022年招收直接攻读博士学位研究生(简称“直博生”)的培养单位，应按照《中南财经政法大学博士研究生培养管理办法》的规定，同步制定相应专业直博生培养方案。</w:t>
      </w:r>
    </w:p>
    <w:p>
      <w:pPr>
        <w:pStyle w:val="2"/>
        <w:bidi w:val="0"/>
        <w:ind w:firstLine="562" w:firstLineChars="200"/>
        <w:rPr>
          <w:rFonts w:hint="default" w:ascii="Arial" w:hAnsi="Arial" w:cs="Times New Roman"/>
          <w:highlight w:val="none"/>
          <w:lang w:val="en-US" w:eastAsia="zh-CN"/>
        </w:rPr>
      </w:pPr>
      <w:r>
        <w:rPr>
          <w:rFonts w:hint="eastAsia" w:ascii="Arial" w:hAnsi="Arial" w:cs="Times New Roman"/>
          <w:highlight w:val="none"/>
          <w:lang w:val="en-US" w:eastAsia="zh-CN"/>
        </w:rPr>
        <w:t>五、培养方案修订（制定）的具体要求</w:t>
      </w:r>
    </w:p>
    <w:p>
      <w:pPr>
        <w:snapToGrid w:val="0"/>
        <w:spacing w:line="48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研究生培养方案的修订（制定）要依据《一级学科博士、硕士学位基本要求》《专业学位类别（领域）博士、硕士学位基本要求》《学术学位研究生核心课程指南（试行）》《专业学位研究生核心课程指南（试行）》《来华留学生高等教育质量规范（试行）》，主要内容包括学制、学分设置、研究方向、培养目标与要求（基本知识、基本素质、基本学术</w:t>
      </w:r>
      <w:r>
        <w:rPr>
          <w:rFonts w:hint="eastAsia" w:ascii="仿宋" w:hAnsi="仿宋" w:eastAsia="仿宋" w:cs="仿宋"/>
          <w:sz w:val="24"/>
          <w:szCs w:val="24"/>
          <w:highlight w:val="none"/>
          <w:lang w:val="en-US" w:eastAsia="zh-CN"/>
        </w:rPr>
        <w:t>/实践</w:t>
      </w:r>
      <w:r>
        <w:rPr>
          <w:rFonts w:hint="eastAsia" w:ascii="仿宋" w:hAnsi="仿宋" w:eastAsia="仿宋" w:cs="仿宋"/>
          <w:sz w:val="24"/>
          <w:szCs w:val="24"/>
          <w:highlight w:val="none"/>
        </w:rPr>
        <w:t>能力）、课程设置与教学计划、培养</w:t>
      </w:r>
      <w:r>
        <w:rPr>
          <w:rFonts w:hint="eastAsia" w:ascii="仿宋" w:hAnsi="仿宋" w:eastAsia="仿宋" w:cs="仿宋"/>
          <w:sz w:val="24"/>
          <w:szCs w:val="24"/>
          <w:highlight w:val="none"/>
          <w:lang w:val="en-US" w:eastAsia="zh-CN"/>
        </w:rPr>
        <w:t>环节</w:t>
      </w:r>
      <w:r>
        <w:rPr>
          <w:rFonts w:hint="eastAsia" w:ascii="仿宋" w:hAnsi="仿宋" w:eastAsia="仿宋" w:cs="仿宋"/>
          <w:sz w:val="24"/>
          <w:szCs w:val="24"/>
          <w:highlight w:val="none"/>
        </w:rPr>
        <w:t>主要内容</w:t>
      </w:r>
      <w:r>
        <w:rPr>
          <w:rFonts w:hint="eastAsia" w:ascii="仿宋" w:hAnsi="仿宋" w:eastAsia="仿宋" w:cs="仿宋"/>
          <w:sz w:val="24"/>
          <w:szCs w:val="24"/>
          <w:highlight w:val="none"/>
          <w:lang w:val="en-US" w:eastAsia="zh-CN"/>
        </w:rPr>
        <w:t>与要求</w:t>
      </w:r>
      <w:r>
        <w:rPr>
          <w:rFonts w:hint="eastAsia" w:ascii="仿宋" w:hAnsi="仿宋" w:eastAsia="仿宋" w:cs="仿宋"/>
          <w:sz w:val="24"/>
          <w:szCs w:val="24"/>
          <w:highlight w:val="none"/>
        </w:rPr>
        <w:t>（培养方式与方法、学术活动与实践活动、学位论文基本要求、毕业与学位授予要求）等。</w:t>
      </w:r>
    </w:p>
    <w:p>
      <w:pPr>
        <w:snapToGrid w:val="0"/>
        <w:spacing w:line="480" w:lineRule="exact"/>
        <w:ind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（一）研究方向要求</w:t>
      </w:r>
    </w:p>
    <w:p>
      <w:pPr>
        <w:snapToGrid w:val="0"/>
        <w:spacing w:line="48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各培养单位应根据学位授权点合格评估（或专项评估）的要求，培养方案中的研究方向应与评估申报的研究方向和招生方向相一致。</w:t>
      </w:r>
    </w:p>
    <w:p>
      <w:pPr>
        <w:snapToGrid w:val="0"/>
        <w:spacing w:line="480" w:lineRule="exact"/>
        <w:ind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（二）培养目标与要求</w:t>
      </w:r>
    </w:p>
    <w:p>
      <w:pPr>
        <w:snapToGrid w:val="0"/>
        <w:spacing w:line="48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各培养单位应根据《一级学科博士、硕士学位基本要求》（附件</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lang w:eastAsia="zh-CN"/>
        </w:rPr>
        <w:t>《专业学位类别（领域）博士、硕士学位基本要求》（</w:t>
      </w:r>
      <w:r>
        <w:rPr>
          <w:rFonts w:hint="eastAsia" w:ascii="仿宋" w:hAnsi="仿宋" w:eastAsia="仿宋" w:cs="仿宋"/>
          <w:sz w:val="24"/>
          <w:szCs w:val="24"/>
          <w:highlight w:val="none"/>
          <w:lang w:val="en-US" w:eastAsia="zh-CN"/>
        </w:rPr>
        <w:t>附件3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，培养方案中的“培养目标与要求”须包含本学科应掌握的基本知识、应具备的基本素质、应具备的基本学术</w:t>
      </w:r>
      <w:r>
        <w:rPr>
          <w:rFonts w:hint="eastAsia" w:ascii="仿宋" w:hAnsi="仿宋" w:eastAsia="仿宋" w:cs="仿宋"/>
          <w:sz w:val="24"/>
          <w:szCs w:val="24"/>
          <w:highlight w:val="none"/>
          <w:lang w:val="en-US" w:eastAsia="zh-CN"/>
        </w:rPr>
        <w:t>与实践</w:t>
      </w:r>
      <w:r>
        <w:rPr>
          <w:rFonts w:hint="eastAsia" w:ascii="仿宋" w:hAnsi="仿宋" w:eastAsia="仿宋" w:cs="仿宋"/>
          <w:sz w:val="24"/>
          <w:szCs w:val="24"/>
          <w:highlight w:val="none"/>
        </w:rPr>
        <w:t>能力等</w:t>
      </w:r>
      <w:r>
        <w:rPr>
          <w:rFonts w:hint="eastAsia" w:ascii="仿宋" w:hAnsi="仿宋" w:eastAsia="仿宋" w:cs="仿宋"/>
          <w:sz w:val="24"/>
          <w:szCs w:val="24"/>
          <w:highlight w:val="none"/>
          <w:lang w:val="en-US" w:eastAsia="zh-CN"/>
        </w:rPr>
        <w:t>德、智、体、美、劳各</w:t>
      </w:r>
      <w:r>
        <w:rPr>
          <w:rFonts w:hint="eastAsia" w:ascii="仿宋" w:hAnsi="仿宋" w:eastAsia="仿宋" w:cs="仿宋"/>
          <w:sz w:val="24"/>
          <w:szCs w:val="24"/>
          <w:highlight w:val="none"/>
        </w:rPr>
        <w:t>方面</w:t>
      </w:r>
      <w:r>
        <w:rPr>
          <w:rFonts w:hint="eastAsia" w:ascii="仿宋" w:hAnsi="仿宋" w:eastAsia="仿宋" w:cs="仿宋"/>
          <w:sz w:val="24"/>
          <w:szCs w:val="24"/>
          <w:highlight w:val="none"/>
          <w:lang w:val="en-US" w:eastAsia="zh-CN"/>
        </w:rPr>
        <w:t>要求</w:t>
      </w:r>
      <w:r>
        <w:rPr>
          <w:rFonts w:hint="eastAsia" w:ascii="仿宋" w:hAnsi="仿宋" w:eastAsia="仿宋" w:cs="仿宋"/>
          <w:sz w:val="24"/>
          <w:szCs w:val="24"/>
          <w:highlight w:val="none"/>
        </w:rPr>
        <w:t>。</w:t>
      </w:r>
    </w:p>
    <w:p>
      <w:pPr>
        <w:snapToGrid w:val="0"/>
        <w:spacing w:line="480" w:lineRule="exact"/>
        <w:ind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（三）课程体系要求</w:t>
      </w:r>
    </w:p>
    <w:p>
      <w:pPr>
        <w:snapToGrid w:val="0"/>
        <w:spacing w:line="480" w:lineRule="exact"/>
        <w:ind w:firstLine="482" w:firstLineChars="20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1.基本要求</w:t>
      </w:r>
    </w:p>
    <w:p>
      <w:pPr>
        <w:snapToGrid w:val="0"/>
        <w:spacing w:line="48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培养方案中相同类型研究生的公共课，由研究生院根据</w:t>
      </w:r>
      <w:r>
        <w:rPr>
          <w:rFonts w:hint="eastAsia" w:ascii="仿宋" w:hAnsi="仿宋" w:eastAsia="仿宋" w:cs="仿宋"/>
          <w:sz w:val="24"/>
          <w:szCs w:val="24"/>
          <w:highlight w:val="none"/>
          <w:lang w:val="en-US" w:eastAsia="zh-CN"/>
        </w:rPr>
        <w:t>上级文件</w:t>
      </w:r>
      <w:r>
        <w:rPr>
          <w:rFonts w:hint="eastAsia" w:ascii="仿宋" w:hAnsi="仿宋" w:eastAsia="仿宋" w:cs="仿宋"/>
          <w:sz w:val="24"/>
          <w:szCs w:val="24"/>
          <w:highlight w:val="none"/>
        </w:rPr>
        <w:t>要求统一规定。</w:t>
      </w:r>
    </w:p>
    <w:p>
      <w:pPr>
        <w:snapToGrid w:val="0"/>
        <w:spacing w:line="48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相同类型相同一级学科研究生的</w:t>
      </w:r>
      <w:r>
        <w:rPr>
          <w:rFonts w:hint="eastAsia" w:ascii="仿宋" w:hAnsi="仿宋" w:eastAsia="仿宋" w:cs="仿宋"/>
          <w:sz w:val="24"/>
          <w:szCs w:val="24"/>
          <w:highlight w:val="none"/>
          <w:lang w:val="en-US" w:eastAsia="zh-CN"/>
        </w:rPr>
        <w:t>学科</w:t>
      </w:r>
      <w:r>
        <w:rPr>
          <w:rFonts w:hint="eastAsia" w:ascii="仿宋" w:hAnsi="仿宋" w:eastAsia="仿宋" w:cs="仿宋"/>
          <w:sz w:val="24"/>
          <w:szCs w:val="24"/>
          <w:highlight w:val="none"/>
        </w:rPr>
        <w:t>基础课要相同。</w:t>
      </w:r>
    </w:p>
    <w:p>
      <w:pPr>
        <w:snapToGrid w:val="0"/>
        <w:spacing w:line="480" w:lineRule="exact"/>
        <w:ind w:firstLine="480" w:firstLineChars="2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国际学生</w:t>
      </w:r>
      <w:r>
        <w:rPr>
          <w:rFonts w:hint="eastAsia" w:ascii="仿宋" w:hAnsi="仿宋" w:eastAsia="仿宋" w:cs="仿宋"/>
          <w:sz w:val="24"/>
          <w:szCs w:val="24"/>
          <w:highlight w:val="none"/>
        </w:rPr>
        <w:t>博士（英文）培养方案应与</w:t>
      </w:r>
      <w:r>
        <w:rPr>
          <w:rFonts w:hint="eastAsia" w:ascii="仿宋" w:hAnsi="仿宋" w:eastAsia="仿宋" w:cs="仿宋"/>
          <w:sz w:val="24"/>
          <w:szCs w:val="24"/>
          <w:highlight w:val="none"/>
          <w:lang w:val="en-US" w:eastAsia="zh-CN"/>
        </w:rPr>
        <w:t>国际学生</w:t>
      </w:r>
      <w:r>
        <w:rPr>
          <w:rFonts w:hint="eastAsia" w:ascii="仿宋" w:hAnsi="仿宋" w:eastAsia="仿宋" w:cs="仿宋"/>
          <w:sz w:val="24"/>
          <w:szCs w:val="24"/>
          <w:highlight w:val="none"/>
        </w:rPr>
        <w:t>博士（中文）趋于相同，开设英文授课的经典文献课程。</w:t>
      </w:r>
    </w:p>
    <w:p>
      <w:pPr>
        <w:snapToGrid w:val="0"/>
        <w:spacing w:line="480" w:lineRule="exact"/>
        <w:ind w:firstLine="482" w:firstLineChars="20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2.公共必修课</w:t>
      </w:r>
    </w:p>
    <w:p>
      <w:pPr>
        <w:snapToGrid w:val="0"/>
        <w:spacing w:line="480" w:lineRule="exact"/>
        <w:ind w:firstLine="480" w:firstLineChars="2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（1）学术学位硕士研究生：第一外国语（4学分）、中国特色社会主义理论与实践研究（2学分）、马克思主义与社会科学方法论或自然辩证法（1学分）。</w:t>
      </w:r>
    </w:p>
    <w:p>
      <w:pPr>
        <w:snapToGrid w:val="0"/>
        <w:spacing w:line="480" w:lineRule="exact"/>
        <w:ind w:firstLine="480" w:firstLineChars="2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专业学位硕士研究生：第一外国语（3学分）、中国特色社会主义理论与实践研究（2学分）、马克思主义与社会科学方法论或自然辩证法（1学分）。</w:t>
      </w:r>
    </w:p>
    <w:p>
      <w:pPr>
        <w:snapToGrid w:val="0"/>
        <w:spacing w:line="480" w:lineRule="exact"/>
        <w:ind w:firstLine="480" w:firstLineChars="2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博士研究生：第一外国语（3学分）、中国马克思主义与当代（2学分）、马克思主义经典著作选读（1学分）。</w:t>
      </w:r>
    </w:p>
    <w:p>
      <w:pPr>
        <w:snapToGrid w:val="0"/>
        <w:spacing w:line="480" w:lineRule="exact"/>
        <w:ind w:firstLine="480" w:firstLineChars="2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（4）国际学生硕士、国际学生博士：汉语（Chinese Language，8学分）、中国文化（Introduction to China，2学分）。</w:t>
      </w:r>
    </w:p>
    <w:p>
      <w:pPr>
        <w:snapToGrid w:val="0"/>
        <w:spacing w:line="480" w:lineRule="exact"/>
        <w:ind w:firstLine="482" w:firstLineChars="20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3.学科基础课</w:t>
      </w:r>
    </w:p>
    <w:p>
      <w:pPr>
        <w:snapToGrid w:val="0"/>
        <w:spacing w:line="48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学术学位研究生按一级学科统一讨论后开设，一般不进行变更。专业学位研究生参照各全国专业学位研究生教育指导委员会要求执行。</w:t>
      </w:r>
    </w:p>
    <w:p>
      <w:pPr>
        <w:snapToGrid w:val="0"/>
        <w:spacing w:line="480" w:lineRule="exact"/>
        <w:ind w:firstLine="482" w:firstLineChars="200"/>
        <w:jc w:val="left"/>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4.专业课</w:t>
      </w:r>
    </w:p>
    <w:p>
      <w:pPr>
        <w:numPr>
          <w:ilvl w:val="0"/>
          <w:numId w:val="0"/>
        </w:numPr>
        <w:snapToGrid w:val="0"/>
        <w:spacing w:line="480" w:lineRule="exact"/>
        <w:ind w:firstLine="480" w:firstLineChars="2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由各学院根据学科专业特色、研究方向自行开设，请勿删除论文写作指导课程。</w:t>
      </w:r>
    </w:p>
    <w:p>
      <w:pPr>
        <w:numPr>
          <w:ilvl w:val="0"/>
          <w:numId w:val="0"/>
        </w:numPr>
        <w:snapToGrid w:val="0"/>
        <w:spacing w:line="480" w:lineRule="exact"/>
        <w:ind w:firstLine="482" w:firstLineChars="20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5.跨学科专业课</w:t>
      </w:r>
    </w:p>
    <w:p>
      <w:pPr>
        <w:numPr>
          <w:ilvl w:val="0"/>
          <w:numId w:val="0"/>
        </w:numPr>
        <w:snapToGrid w:val="0"/>
        <w:spacing w:line="480" w:lineRule="exact"/>
        <w:ind w:firstLine="480" w:firstLineChars="2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为提高研究生的综合素质，拓宽研究生知识面，建立合理的知识结构，鼓励研究生修读跨学科专业的选修课。学术学位硕士研究生须在毕业前修读至少2学分跨学科专业课。鼓励</w:t>
      </w:r>
      <w:r>
        <w:rPr>
          <w:rFonts w:hint="eastAsia" w:ascii="仿宋" w:hAnsi="仿宋" w:eastAsia="仿宋" w:cs="仿宋"/>
          <w:color w:val="auto"/>
          <w:sz w:val="24"/>
          <w:szCs w:val="24"/>
          <w:highlight w:val="none"/>
          <w:lang w:val="en-US" w:eastAsia="zh-CN"/>
        </w:rPr>
        <w:t>专业学位硕士研究生选修跨学科专业课，取得的成绩和学分可以列入成绩总表，但不作为毕业资格审核的规定学分。</w:t>
      </w:r>
    </w:p>
    <w:p>
      <w:pPr>
        <w:numPr>
          <w:ilvl w:val="0"/>
          <w:numId w:val="0"/>
        </w:numPr>
        <w:snapToGrid w:val="0"/>
        <w:spacing w:line="480" w:lineRule="exact"/>
        <w:ind w:firstLine="482" w:firstLineChars="20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6.公共选修课</w:t>
      </w:r>
    </w:p>
    <w:p>
      <w:pPr>
        <w:numPr>
          <w:ilvl w:val="0"/>
          <w:numId w:val="0"/>
        </w:numPr>
        <w:snapToGrid w:val="0"/>
        <w:spacing w:line="480" w:lineRule="exact"/>
        <w:ind w:firstLine="480" w:firstLineChars="2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学术学位硕士研究生修读学分不少于5学分，专业学位硕士研究生修读学分不少于1学分，博士研究生在导师的指导下在全校公共选修课中选修不少于2学分。研究生在导师的指导下在全校公共选修课中选修，其中应至少修读1门公共艺术类课程。</w:t>
      </w:r>
    </w:p>
    <w:p>
      <w:pPr>
        <w:numPr>
          <w:ilvl w:val="0"/>
          <w:numId w:val="0"/>
        </w:numPr>
        <w:snapToGrid w:val="0"/>
        <w:spacing w:line="480" w:lineRule="exact"/>
        <w:ind w:firstLine="482" w:firstLineChars="20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7.必修环节</w:t>
      </w:r>
    </w:p>
    <w:p>
      <w:pPr>
        <w:numPr>
          <w:ilvl w:val="0"/>
          <w:numId w:val="0"/>
        </w:numPr>
        <w:snapToGrid w:val="0"/>
        <w:spacing w:line="48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全日制研究生需按照《中南财经政法大学全日制研究生必修环节设置与考核管理办法》取得5个学分，即入学教育1学分、 创新创业2学分和社会实践2学分。</w:t>
      </w:r>
    </w:p>
    <w:p>
      <w:pPr>
        <w:snapToGrid w:val="0"/>
        <w:spacing w:line="480" w:lineRule="exact"/>
        <w:ind w:firstLine="480" w:firstLineChars="200"/>
        <w:jc w:val="left"/>
        <w:rPr>
          <w:rFonts w:hint="default" w:ascii="仿宋" w:hAnsi="仿宋" w:eastAsia="仿宋" w:cs="仿宋"/>
          <w:color w:val="auto"/>
          <w:sz w:val="24"/>
          <w:szCs w:val="24"/>
          <w:highlight w:val="none"/>
          <w:lang w:val="en-US" w:eastAsia="zh-CN"/>
        </w:rPr>
      </w:pPr>
    </w:p>
    <w:tbl>
      <w:tblPr>
        <w:tblStyle w:val="9"/>
        <w:tblW w:w="91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02"/>
        <w:gridCol w:w="1540"/>
        <w:gridCol w:w="1500"/>
        <w:gridCol w:w="1455"/>
        <w:gridCol w:w="1365"/>
        <w:gridCol w:w="1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902" w:type="dxa"/>
            <w:vMerge w:val="restart"/>
            <w:tcBorders>
              <w:top w:val="single" w:color="auto" w:sz="4" w:space="0"/>
              <w:left w:val="single" w:color="auto" w:sz="4" w:space="0"/>
              <w:right w:val="single" w:color="auto" w:sz="4" w:space="0"/>
              <w:tl2br w:val="single" w:color="auto" w:sz="4" w:space="0"/>
            </w:tcBorders>
            <w:shd w:val="clear" w:color="auto" w:fill="auto"/>
            <w:noWrap/>
          </w:tcPr>
          <w:p>
            <w:pPr>
              <w:keepNext w:val="0"/>
              <w:keepLines w:val="0"/>
              <w:pageBreakBefore w:val="0"/>
              <w:kinsoku/>
              <w:wordWrap/>
              <w:overflowPunct/>
              <w:topLinePunct w:val="0"/>
              <w:autoSpaceDE/>
              <w:autoSpaceDN/>
              <w:bidi w:val="0"/>
              <w:adjustRightInd w:val="0"/>
              <w:snapToGrid w:val="0"/>
              <w:spacing w:line="240" w:lineRule="auto"/>
              <w:jc w:val="right"/>
              <w:textAlignment w:val="auto"/>
              <w:rPr>
                <w:rFonts w:hint="eastAsia" w:ascii="仿宋" w:hAnsi="仿宋" w:eastAsia="仿宋" w:cs="仿宋"/>
                <w:b/>
                <w:color w:val="000000"/>
                <w:kern w:val="0"/>
                <w:sz w:val="21"/>
                <w:szCs w:val="21"/>
                <w:highlight w:val="none"/>
              </w:rPr>
            </w:pPr>
          </w:p>
          <w:p>
            <w:pPr>
              <w:keepNext w:val="0"/>
              <w:keepLines w:val="0"/>
              <w:pageBreakBefore w:val="0"/>
              <w:kinsoku/>
              <w:wordWrap/>
              <w:overflowPunct/>
              <w:topLinePunct w:val="0"/>
              <w:autoSpaceDE/>
              <w:autoSpaceDN/>
              <w:bidi w:val="0"/>
              <w:adjustRightInd w:val="0"/>
              <w:snapToGrid w:val="0"/>
              <w:spacing w:line="240" w:lineRule="auto"/>
              <w:jc w:val="right"/>
              <w:textAlignment w:val="auto"/>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研究生类型</w:t>
            </w:r>
          </w:p>
          <w:p>
            <w:pPr>
              <w:keepNext w:val="0"/>
              <w:keepLines w:val="0"/>
              <w:pageBreakBefore w:val="0"/>
              <w:kinsoku/>
              <w:wordWrap/>
              <w:overflowPunct/>
              <w:topLinePunct w:val="0"/>
              <w:autoSpaceDE/>
              <w:autoSpaceDN/>
              <w:bidi w:val="0"/>
              <w:adjustRightInd w:val="0"/>
              <w:snapToGrid w:val="0"/>
              <w:spacing w:line="240" w:lineRule="auto"/>
              <w:ind w:left="90" w:leftChars="43" w:firstLine="0" w:firstLineChars="0"/>
              <w:textAlignment w:val="auto"/>
              <w:rPr>
                <w:rFonts w:hint="eastAsia" w:ascii="仿宋" w:hAnsi="仿宋" w:eastAsia="仿宋" w:cs="仿宋"/>
                <w:b/>
                <w:color w:val="000000"/>
                <w:kern w:val="0"/>
                <w:sz w:val="21"/>
                <w:szCs w:val="21"/>
                <w:highlight w:val="none"/>
              </w:rPr>
            </w:pPr>
          </w:p>
          <w:p>
            <w:pPr>
              <w:keepNext w:val="0"/>
              <w:keepLines w:val="0"/>
              <w:pageBreakBefore w:val="0"/>
              <w:kinsoku/>
              <w:wordWrap/>
              <w:overflowPunct/>
              <w:topLinePunct w:val="0"/>
              <w:autoSpaceDE/>
              <w:autoSpaceDN/>
              <w:bidi w:val="0"/>
              <w:adjustRightInd w:val="0"/>
              <w:snapToGrid w:val="0"/>
              <w:spacing w:line="240" w:lineRule="auto"/>
              <w:ind w:left="90" w:leftChars="43" w:firstLine="0" w:firstLineChars="0"/>
              <w:textAlignment w:val="auto"/>
              <w:rPr>
                <w:rFonts w:hint="eastAsia" w:ascii="仿宋" w:hAnsi="仿宋" w:eastAsia="仿宋" w:cs="仿宋"/>
                <w:b/>
                <w:color w:val="000000"/>
                <w:kern w:val="0"/>
                <w:sz w:val="21"/>
                <w:szCs w:val="21"/>
                <w:highlight w:val="none"/>
              </w:rPr>
            </w:pP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color w:val="000000"/>
                <w:kern w:val="0"/>
                <w:sz w:val="21"/>
                <w:szCs w:val="21"/>
                <w:highlight w:val="none"/>
              </w:rPr>
            </w:pP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课程类型</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color w:val="000000"/>
                <w:kern w:val="0"/>
                <w:sz w:val="21"/>
                <w:szCs w:val="21"/>
                <w:highlight w:val="none"/>
                <w:lang w:val="en-US" w:eastAsia="zh-CN"/>
              </w:rPr>
            </w:pPr>
            <w:r>
              <w:rPr>
                <w:rFonts w:hint="eastAsia" w:ascii="仿宋" w:hAnsi="仿宋" w:eastAsia="仿宋" w:cs="仿宋"/>
                <w:b/>
                <w:color w:val="000000"/>
                <w:kern w:val="0"/>
                <w:sz w:val="21"/>
                <w:szCs w:val="21"/>
                <w:highlight w:val="none"/>
              </w:rPr>
              <w:t>学术</w:t>
            </w:r>
            <w:r>
              <w:rPr>
                <w:rFonts w:hint="eastAsia" w:ascii="仿宋" w:hAnsi="仿宋" w:eastAsia="仿宋" w:cs="仿宋"/>
                <w:b/>
                <w:color w:val="000000"/>
                <w:kern w:val="0"/>
                <w:sz w:val="21"/>
                <w:szCs w:val="21"/>
                <w:highlight w:val="none"/>
                <w:lang w:val="en-US" w:eastAsia="zh-CN"/>
              </w:rPr>
              <w:t>学位</w:t>
            </w:r>
            <w:r>
              <w:rPr>
                <w:rFonts w:hint="eastAsia" w:ascii="仿宋" w:hAnsi="仿宋" w:eastAsia="仿宋" w:cs="仿宋"/>
                <w:b/>
                <w:color w:val="000000"/>
                <w:kern w:val="0"/>
                <w:sz w:val="21"/>
                <w:szCs w:val="21"/>
                <w:highlight w:val="none"/>
              </w:rPr>
              <w:t>硕士</w:t>
            </w:r>
          </w:p>
        </w:tc>
        <w:tc>
          <w:tcPr>
            <w:tcW w:w="150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专业</w:t>
            </w:r>
            <w:r>
              <w:rPr>
                <w:rFonts w:hint="eastAsia" w:ascii="仿宋" w:hAnsi="仿宋" w:eastAsia="仿宋" w:cs="仿宋"/>
                <w:b/>
                <w:color w:val="000000"/>
                <w:kern w:val="0"/>
                <w:sz w:val="21"/>
                <w:szCs w:val="21"/>
                <w:highlight w:val="none"/>
                <w:lang w:val="en-US" w:eastAsia="zh-CN"/>
              </w:rPr>
              <w:t>学位</w:t>
            </w:r>
            <w:r>
              <w:rPr>
                <w:rFonts w:hint="eastAsia" w:ascii="仿宋" w:hAnsi="仿宋" w:eastAsia="仿宋" w:cs="仿宋"/>
                <w:b/>
                <w:color w:val="000000"/>
                <w:kern w:val="0"/>
                <w:sz w:val="21"/>
                <w:szCs w:val="21"/>
                <w:highlight w:val="none"/>
              </w:rPr>
              <w:t>硕士</w:t>
            </w:r>
          </w:p>
        </w:tc>
        <w:tc>
          <w:tcPr>
            <w:tcW w:w="14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color w:val="000000"/>
                <w:kern w:val="0"/>
                <w:sz w:val="21"/>
                <w:szCs w:val="21"/>
                <w:highlight w:val="none"/>
                <w:lang w:val="en-US" w:eastAsia="zh-CN"/>
              </w:rPr>
            </w:pPr>
            <w:r>
              <w:rPr>
                <w:rFonts w:hint="eastAsia" w:ascii="仿宋" w:hAnsi="仿宋" w:eastAsia="仿宋" w:cs="仿宋"/>
                <w:b/>
                <w:color w:val="000000"/>
                <w:kern w:val="0"/>
                <w:sz w:val="21"/>
                <w:szCs w:val="21"/>
                <w:highlight w:val="none"/>
              </w:rPr>
              <w:t>博士</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color w:val="000000"/>
                <w:kern w:val="0"/>
                <w:sz w:val="21"/>
                <w:szCs w:val="21"/>
                <w:highlight w:val="none"/>
                <w:lang w:val="en-US" w:eastAsia="zh-CN"/>
              </w:rPr>
            </w:pPr>
            <w:r>
              <w:rPr>
                <w:rFonts w:hint="eastAsia" w:ascii="仿宋" w:hAnsi="仿宋" w:eastAsia="仿宋" w:cs="仿宋"/>
                <w:b/>
                <w:color w:val="000000"/>
                <w:kern w:val="0"/>
                <w:sz w:val="21"/>
                <w:szCs w:val="21"/>
                <w:highlight w:val="none"/>
                <w:lang w:val="en-US" w:eastAsia="zh-CN"/>
              </w:rPr>
              <w:t>留学生硕士</w:t>
            </w:r>
          </w:p>
        </w:tc>
        <w:tc>
          <w:tcPr>
            <w:tcW w:w="14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color w:val="000000"/>
                <w:kern w:val="0"/>
                <w:sz w:val="21"/>
                <w:szCs w:val="21"/>
                <w:highlight w:val="none"/>
                <w:lang w:val="en-US" w:eastAsia="zh-CN"/>
              </w:rPr>
            </w:pPr>
            <w:r>
              <w:rPr>
                <w:rFonts w:hint="eastAsia" w:ascii="仿宋" w:hAnsi="仿宋" w:eastAsia="仿宋" w:cs="仿宋"/>
                <w:b/>
                <w:color w:val="000000"/>
                <w:kern w:val="0"/>
                <w:sz w:val="21"/>
                <w:szCs w:val="21"/>
                <w:highlight w:val="none"/>
                <w:lang w:val="en-US" w:eastAsia="zh-CN"/>
              </w:rPr>
              <w:t>留学生博士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1902"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highlight w:val="none"/>
              </w:rPr>
            </w:pP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课程</w:t>
            </w:r>
            <w:r>
              <w:rPr>
                <w:rFonts w:hint="eastAsia" w:ascii="仿宋" w:hAnsi="仿宋" w:eastAsia="仿宋" w:cs="仿宋"/>
                <w:color w:val="000000"/>
                <w:kern w:val="0"/>
                <w:sz w:val="21"/>
                <w:szCs w:val="21"/>
                <w:highlight w:val="none"/>
              </w:rPr>
              <w:t>总学分</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≥38</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课程</w:t>
            </w:r>
            <w:r>
              <w:rPr>
                <w:rFonts w:hint="eastAsia" w:ascii="仿宋" w:hAnsi="仿宋" w:eastAsia="仿宋" w:cs="仿宋"/>
                <w:color w:val="000000"/>
                <w:kern w:val="0"/>
                <w:sz w:val="21"/>
                <w:szCs w:val="21"/>
                <w:highlight w:val="none"/>
              </w:rPr>
              <w:t>总学分</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≥31</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rPr>
              <w:t>各</w:t>
            </w:r>
            <w:r>
              <w:rPr>
                <w:rFonts w:hint="eastAsia" w:ascii="仿宋" w:hAnsi="仿宋" w:eastAsia="仿宋" w:cs="仿宋"/>
                <w:color w:val="000000"/>
                <w:kern w:val="0"/>
                <w:sz w:val="21"/>
                <w:szCs w:val="21"/>
                <w:highlight w:val="none"/>
                <w:lang w:val="en-US" w:eastAsia="zh-CN"/>
              </w:rPr>
              <w:t>全国</w:t>
            </w:r>
            <w:r>
              <w:rPr>
                <w:rFonts w:hint="eastAsia" w:ascii="仿宋" w:hAnsi="仿宋" w:eastAsia="仿宋" w:cs="仿宋"/>
                <w:color w:val="000000"/>
                <w:kern w:val="0"/>
                <w:sz w:val="21"/>
                <w:szCs w:val="21"/>
                <w:highlight w:val="none"/>
              </w:rPr>
              <w:t>教指委</w:t>
            </w:r>
            <w:r>
              <w:rPr>
                <w:rFonts w:hint="eastAsia" w:ascii="仿宋" w:hAnsi="仿宋" w:eastAsia="仿宋" w:cs="仿宋"/>
                <w:color w:val="000000"/>
                <w:kern w:val="0"/>
                <w:sz w:val="21"/>
                <w:szCs w:val="21"/>
                <w:highlight w:val="none"/>
                <w:lang w:val="en-US" w:eastAsia="zh-CN"/>
              </w:rPr>
              <w:t>另有规定的，按其规定执行</w:t>
            </w:r>
          </w:p>
        </w:tc>
        <w:tc>
          <w:tcPr>
            <w:tcW w:w="14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课程</w:t>
            </w:r>
            <w:r>
              <w:rPr>
                <w:rFonts w:hint="eastAsia" w:ascii="仿宋" w:hAnsi="仿宋" w:eastAsia="仿宋" w:cs="仿宋"/>
                <w:color w:val="000000"/>
                <w:kern w:val="0"/>
                <w:sz w:val="21"/>
                <w:szCs w:val="21"/>
                <w:highlight w:val="none"/>
              </w:rPr>
              <w:t>总学分</w:t>
            </w:r>
            <w:r>
              <w:rPr>
                <w:rFonts w:hint="eastAsia" w:ascii="仿宋" w:hAnsi="仿宋" w:eastAsia="仿宋" w:cs="仿宋"/>
                <w:color w:val="000000"/>
                <w:kern w:val="0"/>
                <w:sz w:val="21"/>
                <w:szCs w:val="21"/>
                <w:highlight w:val="none"/>
                <w:lang w:val="en-US" w:eastAsia="zh-CN"/>
              </w:rPr>
              <w:t>≥18</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(其中，直博生≥33)</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课程</w:t>
            </w:r>
            <w:r>
              <w:rPr>
                <w:rFonts w:hint="eastAsia" w:ascii="仿宋" w:hAnsi="仿宋" w:eastAsia="仿宋" w:cs="仿宋"/>
                <w:color w:val="000000"/>
                <w:kern w:val="0"/>
                <w:sz w:val="21"/>
                <w:szCs w:val="21"/>
                <w:highlight w:val="none"/>
              </w:rPr>
              <w:t>总学分</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rPr>
            </w:pPr>
            <w:r>
              <w:rPr>
                <w:rFonts w:hint="eastAsia" w:ascii="仿宋" w:hAnsi="仿宋" w:eastAsia="仿宋" w:cs="仿宋"/>
                <w:color w:val="000000"/>
                <w:kern w:val="0"/>
                <w:sz w:val="21"/>
                <w:szCs w:val="21"/>
                <w:highlight w:val="none"/>
                <w:lang w:val="en-US" w:eastAsia="zh-CN"/>
              </w:rPr>
              <w:t>≥34</w:t>
            </w:r>
          </w:p>
        </w:tc>
        <w:tc>
          <w:tcPr>
            <w:tcW w:w="14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课程</w:t>
            </w:r>
            <w:r>
              <w:rPr>
                <w:rFonts w:hint="eastAsia" w:ascii="仿宋" w:hAnsi="仿宋" w:eastAsia="仿宋" w:cs="仿宋"/>
                <w:color w:val="000000"/>
                <w:kern w:val="0"/>
                <w:sz w:val="21"/>
                <w:szCs w:val="21"/>
                <w:highlight w:val="none"/>
              </w:rPr>
              <w:t>总学分</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rPr>
            </w:pPr>
            <w:r>
              <w:rPr>
                <w:rFonts w:hint="eastAsia" w:ascii="仿宋" w:hAnsi="仿宋" w:eastAsia="仿宋" w:cs="仿宋"/>
                <w:color w:val="000000"/>
                <w:kern w:val="0"/>
                <w:sz w:val="21"/>
                <w:szCs w:val="21"/>
                <w:highlight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90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公共必修课</w:t>
            </w:r>
          </w:p>
        </w:tc>
        <w:tc>
          <w:tcPr>
            <w:tcW w:w="1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val="en-US" w:eastAsia="zh-CN"/>
              </w:rPr>
              <w:t>7</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val="en-US"/>
              </w:rPr>
              <w:t>6</w:t>
            </w:r>
          </w:p>
        </w:tc>
        <w:tc>
          <w:tcPr>
            <w:tcW w:w="14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14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学科基础课</w:t>
            </w:r>
          </w:p>
        </w:tc>
        <w:tc>
          <w:tcPr>
            <w:tcW w:w="1540"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rPr>
            </w:pPr>
            <w:r>
              <w:rPr>
                <w:rFonts w:hint="eastAsia" w:ascii="仿宋" w:hAnsi="仿宋" w:eastAsia="仿宋" w:cs="仿宋"/>
                <w:color w:val="000000"/>
                <w:kern w:val="0"/>
                <w:sz w:val="21"/>
                <w:szCs w:val="21"/>
                <w:highlight w:val="none"/>
                <w:lang w:val="en-US" w:eastAsia="zh-CN"/>
              </w:rPr>
              <w:t>≥24</w:t>
            </w:r>
          </w:p>
        </w:tc>
        <w:tc>
          <w:tcPr>
            <w:tcW w:w="1500"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≥24</w:t>
            </w: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各</w:t>
            </w:r>
            <w:r>
              <w:rPr>
                <w:rFonts w:hint="eastAsia" w:ascii="仿宋" w:hAnsi="仿宋" w:eastAsia="仿宋" w:cs="仿宋"/>
                <w:color w:val="000000"/>
                <w:kern w:val="0"/>
                <w:sz w:val="21"/>
                <w:szCs w:val="21"/>
                <w:highlight w:val="none"/>
                <w:lang w:val="en-US" w:eastAsia="zh-CN"/>
              </w:rPr>
              <w:t>全国</w:t>
            </w:r>
            <w:r>
              <w:rPr>
                <w:rFonts w:hint="eastAsia" w:ascii="仿宋" w:hAnsi="仿宋" w:eastAsia="仿宋" w:cs="仿宋"/>
                <w:color w:val="000000"/>
                <w:kern w:val="0"/>
                <w:sz w:val="21"/>
                <w:szCs w:val="21"/>
                <w:highlight w:val="none"/>
              </w:rPr>
              <w:t>教指委</w:t>
            </w:r>
            <w:r>
              <w:rPr>
                <w:rFonts w:hint="eastAsia" w:ascii="仿宋" w:hAnsi="仿宋" w:eastAsia="仿宋" w:cs="仿宋"/>
                <w:color w:val="000000"/>
                <w:kern w:val="0"/>
                <w:sz w:val="21"/>
                <w:szCs w:val="21"/>
                <w:highlight w:val="none"/>
                <w:lang w:val="en-US" w:eastAsia="zh-CN"/>
              </w:rPr>
              <w:t>另有规定的，按其规定执行</w:t>
            </w:r>
          </w:p>
        </w:tc>
        <w:tc>
          <w:tcPr>
            <w:tcW w:w="1455"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rPr>
            </w:pPr>
            <w:r>
              <w:rPr>
                <w:rFonts w:hint="eastAsia" w:ascii="仿宋" w:hAnsi="仿宋" w:eastAsia="仿宋" w:cs="仿宋"/>
                <w:color w:val="000000"/>
                <w:kern w:val="0"/>
                <w:sz w:val="21"/>
                <w:szCs w:val="21"/>
                <w:highlight w:val="none"/>
                <w:lang w:val="en-US" w:eastAsia="zh-CN"/>
              </w:rPr>
              <w:t>(其中，直博生≥25)</w:t>
            </w:r>
          </w:p>
        </w:tc>
        <w:tc>
          <w:tcPr>
            <w:tcW w:w="136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bCs/>
                <w:szCs w:val="21"/>
                <w:highlight w:val="none"/>
                <w:lang w:val="en-US" w:eastAsia="zh-CN"/>
              </w:rPr>
              <w:t>≥24</w:t>
            </w:r>
          </w:p>
        </w:tc>
        <w:tc>
          <w:tcPr>
            <w:tcW w:w="141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rPr>
            </w:pPr>
            <w:r>
              <w:rPr>
                <w:rFonts w:hint="eastAsia" w:ascii="仿宋" w:hAnsi="仿宋" w:eastAsia="仿宋" w:cs="仿宋"/>
                <w:bCs/>
                <w:szCs w:val="21"/>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专业课</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val="en-US" w:eastAsia="zh-CN"/>
              </w:rPr>
              <w:t>(必修/选修)</w:t>
            </w:r>
          </w:p>
        </w:tc>
        <w:tc>
          <w:tcPr>
            <w:tcW w:w="1540"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rPr>
            </w:pPr>
          </w:p>
        </w:tc>
        <w:tc>
          <w:tcPr>
            <w:tcW w:w="1500"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highlight w:val="none"/>
                <w:lang w:val="en-US" w:eastAsia="zh-CN"/>
              </w:rPr>
            </w:pPr>
          </w:p>
        </w:tc>
        <w:tc>
          <w:tcPr>
            <w:tcW w:w="1455"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rPr>
            </w:pPr>
          </w:p>
        </w:tc>
        <w:tc>
          <w:tcPr>
            <w:tcW w:w="136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rPr>
            </w:pPr>
          </w:p>
        </w:tc>
        <w:tc>
          <w:tcPr>
            <w:tcW w:w="141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跨学科专业课</w:t>
            </w:r>
          </w:p>
        </w:tc>
        <w:tc>
          <w:tcPr>
            <w:tcW w:w="1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9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val="en-US" w:eastAsia="zh-CN"/>
              </w:rPr>
              <w:t>公共选修课</w:t>
            </w:r>
          </w:p>
        </w:tc>
        <w:tc>
          <w:tcPr>
            <w:tcW w:w="1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w:t>
            </w:r>
          </w:p>
        </w:tc>
        <w:tc>
          <w:tcPr>
            <w:tcW w:w="13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90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highlight w:val="none"/>
              </w:rPr>
            </w:pPr>
          </w:p>
        </w:tc>
        <w:tc>
          <w:tcPr>
            <w:tcW w:w="4495"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其中应至少修读1门公共艺术类课程</w:t>
            </w:r>
          </w:p>
        </w:tc>
        <w:tc>
          <w:tcPr>
            <w:tcW w:w="136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p>
        </w:tc>
        <w:tc>
          <w:tcPr>
            <w:tcW w:w="141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必修环节</w:t>
            </w: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(课堂外教育环节)</w:t>
            </w:r>
          </w:p>
        </w:tc>
        <w:tc>
          <w:tcPr>
            <w:tcW w:w="4495"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按照《中南财经政法大学全日制研究生必修环节设置与考核管理办法》</w:t>
            </w:r>
            <w:r>
              <w:rPr>
                <w:rFonts w:hint="eastAsia" w:ascii="仿宋" w:hAnsi="仿宋" w:eastAsia="仿宋" w:cs="仿宋"/>
                <w:color w:val="000000"/>
                <w:kern w:val="0"/>
                <w:sz w:val="21"/>
                <w:szCs w:val="21"/>
                <w:highlight w:val="none"/>
                <w:lang w:val="en-US" w:eastAsia="zh-CN"/>
              </w:rPr>
              <w:t>和各学院细则执行，共</w:t>
            </w:r>
            <w:r>
              <w:rPr>
                <w:rFonts w:hint="eastAsia" w:ascii="仿宋" w:hAnsi="仿宋" w:eastAsia="仿宋" w:cs="仿宋"/>
                <w:color w:val="000000"/>
                <w:kern w:val="0"/>
                <w:sz w:val="21"/>
                <w:szCs w:val="21"/>
                <w:highlight w:val="none"/>
              </w:rPr>
              <w:t>5学分，</w:t>
            </w:r>
            <w:r>
              <w:rPr>
                <w:rFonts w:hint="eastAsia" w:ascii="仿宋" w:hAnsi="仿宋" w:eastAsia="仿宋" w:cs="仿宋"/>
                <w:color w:val="000000"/>
                <w:kern w:val="0"/>
                <w:sz w:val="21"/>
                <w:szCs w:val="21"/>
                <w:highlight w:val="none"/>
                <w:lang w:val="en-US" w:eastAsia="zh-CN"/>
              </w:rPr>
              <w:t>包含</w:t>
            </w:r>
            <w:r>
              <w:rPr>
                <w:rFonts w:hint="eastAsia" w:ascii="仿宋" w:hAnsi="仿宋" w:eastAsia="仿宋" w:cs="仿宋"/>
                <w:color w:val="000000"/>
                <w:kern w:val="0"/>
                <w:sz w:val="21"/>
                <w:szCs w:val="21"/>
                <w:highlight w:val="none"/>
              </w:rPr>
              <w:t>入学教育1学分、 创新创业2学分</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社会实践2学分。</w:t>
            </w:r>
          </w:p>
        </w:tc>
        <w:tc>
          <w:tcPr>
            <w:tcW w:w="2780"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w:t>
            </w:r>
          </w:p>
        </w:tc>
      </w:tr>
    </w:tbl>
    <w:p>
      <w:pPr>
        <w:numPr>
          <w:ilvl w:val="0"/>
          <w:numId w:val="0"/>
        </w:numPr>
        <w:rPr>
          <w:rFonts w:hint="default"/>
          <w:sz w:val="21"/>
          <w:szCs w:val="21"/>
          <w:highlight w:val="none"/>
          <w:lang w:val="en-US" w:eastAsia="zh-CN"/>
        </w:rPr>
      </w:pPr>
    </w:p>
    <w:p>
      <w:pPr>
        <w:numPr>
          <w:ilvl w:val="0"/>
          <w:numId w:val="0"/>
        </w:numPr>
        <w:snapToGrid w:val="0"/>
        <w:spacing w:line="480" w:lineRule="exact"/>
        <w:ind w:firstLine="482" w:firstLineChars="200"/>
        <w:jc w:val="left"/>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（四）毕业条件与学位授予</w:t>
      </w:r>
    </w:p>
    <w:p>
      <w:pPr>
        <w:numPr>
          <w:ilvl w:val="0"/>
          <w:numId w:val="0"/>
        </w:numPr>
        <w:snapToGrid w:val="0"/>
        <w:spacing w:line="480" w:lineRule="exact"/>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明确研究生毕业和学位授予的要求。其中，博士研究生培养方案中应明确综合素质与学术能力训练的具体内容和代表性学术成果的评审标准。代表性学术成果应根据《深化新时代教育评价改革总体方案》（中发﹝2020﹞19号）和《关于规范高等学校SCI论文相关指标使用 树立正确评价导向的若干意见》（教科技〔2020〕2号）文件精神，坚决落实“破五唯”要求。</w:t>
      </w:r>
    </w:p>
    <w:p>
      <w:pPr>
        <w:numPr>
          <w:ilvl w:val="0"/>
          <w:numId w:val="0"/>
        </w:numPr>
        <w:snapToGrid w:val="0"/>
        <w:spacing w:line="480" w:lineRule="exact"/>
        <w:ind w:firstLine="482" w:firstLineChars="200"/>
        <w:jc w:val="left"/>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（五）本专业主要文献、目录及刊物</w:t>
      </w:r>
    </w:p>
    <w:p>
      <w:pPr>
        <w:numPr>
          <w:ilvl w:val="0"/>
          <w:numId w:val="0"/>
        </w:numPr>
        <w:snapToGrid w:val="0"/>
        <w:spacing w:line="480" w:lineRule="exact"/>
        <w:ind w:firstLine="480" w:firstLineChars="200"/>
        <w:jc w:val="left"/>
        <w:rPr>
          <w:rFonts w:hint="default"/>
          <w:sz w:val="21"/>
          <w:szCs w:val="21"/>
          <w:highlight w:val="none"/>
          <w:lang w:val="en-US" w:eastAsia="zh-CN"/>
        </w:rPr>
      </w:pPr>
      <w:r>
        <w:rPr>
          <w:rFonts w:hint="eastAsia" w:ascii="仿宋" w:hAnsi="仿宋" w:eastAsia="仿宋" w:cs="仿宋"/>
          <w:color w:val="auto"/>
          <w:sz w:val="24"/>
          <w:szCs w:val="24"/>
          <w:highlight w:val="none"/>
          <w:lang w:val="en-US" w:eastAsia="zh-CN"/>
        </w:rPr>
        <w:t>更新本专业主要文献、目录及刊物目录</w:t>
      </w:r>
      <w:r>
        <w:rPr>
          <w:rFonts w:hint="default" w:ascii="仿宋" w:hAnsi="仿宋" w:eastAsia="仿宋" w:cs="仿宋"/>
          <w:color w:val="auto"/>
          <w:sz w:val="24"/>
          <w:szCs w:val="24"/>
          <w:highlight w:val="none"/>
          <w:lang w:val="en-US" w:eastAsia="zh-CN"/>
        </w:rPr>
        <w:t>，并明确研究生在校期间的文献阅读要求</w:t>
      </w:r>
      <w:r>
        <w:rPr>
          <w:rFonts w:hint="eastAsia" w:ascii="仿宋" w:hAnsi="仿宋" w:eastAsia="仿宋" w:cs="仿宋"/>
          <w:color w:val="auto"/>
          <w:sz w:val="24"/>
          <w:szCs w:val="24"/>
          <w:highlight w:val="none"/>
          <w:lang w:val="en-US" w:eastAsia="zh-CN"/>
        </w:rPr>
        <w:t>。</w:t>
      </w:r>
    </w:p>
    <w:p>
      <w:pPr>
        <w:pStyle w:val="2"/>
        <w:bidi w:val="0"/>
        <w:ind w:firstLine="562" w:firstLineChars="200"/>
        <w:rPr>
          <w:rFonts w:hint="eastAsia" w:ascii="Arial" w:hAnsi="Arial" w:cs="Times New Roman"/>
          <w:highlight w:val="none"/>
          <w:lang w:val="en-US" w:eastAsia="zh-CN"/>
        </w:rPr>
      </w:pPr>
      <w:r>
        <w:rPr>
          <w:rFonts w:hint="eastAsia" w:ascii="Arial" w:hAnsi="Arial" w:cs="Times New Roman"/>
          <w:highlight w:val="none"/>
          <w:lang w:val="en-US" w:eastAsia="zh-CN"/>
        </w:rPr>
        <w:t>六、工作安排</w:t>
      </w:r>
    </w:p>
    <w:p>
      <w:pPr>
        <w:numPr>
          <w:ilvl w:val="0"/>
          <w:numId w:val="0"/>
        </w:numPr>
        <w:snapToGrid w:val="0"/>
        <w:spacing w:line="48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（一）培养方案修订/制定（2021年9月16</w:t>
      </w:r>
      <w:bookmarkStart w:id="0" w:name="_GoBack"/>
      <w:bookmarkEnd w:id="0"/>
      <w:r>
        <w:rPr>
          <w:rFonts w:hint="eastAsia" w:ascii="仿宋" w:hAnsi="仿宋" w:eastAsia="仿宋" w:cs="仿宋"/>
          <w:color w:val="auto"/>
          <w:sz w:val="24"/>
          <w:szCs w:val="24"/>
          <w:highlight w:val="none"/>
          <w:lang w:val="en-US" w:eastAsia="zh-CN"/>
        </w:rPr>
        <w:t>日至12月31日）：各培养单位组织修订（制定）培养方案（样表见附件4），完成后请各负责人填报《2022年培养方案修订（制定）自查表》（附件5）。</w:t>
      </w:r>
    </w:p>
    <w:p>
      <w:pPr>
        <w:numPr>
          <w:ilvl w:val="0"/>
          <w:numId w:val="0"/>
        </w:numPr>
        <w:snapToGrid w:val="0"/>
        <w:spacing w:line="48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（二）格式审核与调整（2022年1月1日至3月31日）：研究生院对各培养单位报送培养方案进行格式审核，培养单位根据反馈意见修改调整后定稿。</w:t>
      </w:r>
    </w:p>
    <w:p>
      <w:pPr>
        <w:numPr>
          <w:ilvl w:val="0"/>
          <w:numId w:val="0"/>
        </w:numPr>
        <w:snapToGrid w:val="0"/>
        <w:spacing w:line="48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（三）培养方案系统录入（2022年4月1日至4月30日）：研究生院组织各培养单位完成培养方案的系统录入和线上审核。</w:t>
      </w:r>
    </w:p>
    <w:p>
      <w:pPr>
        <w:numPr>
          <w:ilvl w:val="0"/>
          <w:numId w:val="0"/>
        </w:numPr>
        <w:snapToGrid w:val="0"/>
        <w:spacing w:line="480" w:lineRule="exact"/>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（四）培养方案备案（2022年5月1日至5月15日）：培养单位将培养方案终稿和新增课程教学大纲（附件6）提交至研究生院留存备案。</w:t>
      </w:r>
    </w:p>
    <w:p>
      <w:pPr>
        <w:pStyle w:val="2"/>
        <w:bidi w:val="0"/>
        <w:ind w:firstLine="562" w:firstLineChars="200"/>
        <w:rPr>
          <w:rFonts w:hint="eastAsia" w:ascii="Arial" w:hAnsi="Arial" w:cs="Times New Roman"/>
          <w:highlight w:val="none"/>
          <w:lang w:val="en-US" w:eastAsia="zh-CN"/>
        </w:rPr>
      </w:pPr>
      <w:r>
        <w:rPr>
          <w:rFonts w:hint="eastAsia" w:ascii="Arial" w:hAnsi="Arial" w:cs="Times New Roman"/>
          <w:highlight w:val="none"/>
          <w:lang w:val="en-US" w:eastAsia="zh-CN"/>
        </w:rPr>
        <w:t>七、其他说明</w:t>
      </w:r>
    </w:p>
    <w:p>
      <w:pPr>
        <w:numPr>
          <w:ilvl w:val="0"/>
          <w:numId w:val="0"/>
        </w:numPr>
        <w:snapToGrid w:val="0"/>
        <w:spacing w:line="48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（一）各培养单位预报培养方案的数量应以2022年招生专业均有对应培养方案为上报依据。</w:t>
      </w:r>
    </w:p>
    <w:p>
      <w:pPr>
        <w:numPr>
          <w:ilvl w:val="0"/>
          <w:numId w:val="0"/>
        </w:numPr>
        <w:snapToGrid w:val="0"/>
        <w:spacing w:line="48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（二）为了保持我校研究生培养方案的格式相对一致，请在修订（制定）过程中对于样表格式和样表已填写内容不做修改。如延续以往课程名称，可通过研究生管理系统查看课程代码和相关信息。</w:t>
      </w:r>
    </w:p>
    <w:p>
      <w:pPr>
        <w:numPr>
          <w:ilvl w:val="0"/>
          <w:numId w:val="0"/>
        </w:numPr>
        <w:snapToGrid w:val="0"/>
        <w:spacing w:line="480" w:lineRule="exact"/>
        <w:ind w:firstLine="480" w:firstLineChars="200"/>
        <w:jc w:val="left"/>
        <w:rPr>
          <w:rFonts w:hint="default"/>
          <w:sz w:val="21"/>
          <w:szCs w:val="21"/>
          <w:highlight w:val="none"/>
          <w:lang w:val="en-US" w:eastAsia="zh-CN"/>
        </w:rPr>
      </w:pPr>
      <w:r>
        <w:rPr>
          <w:rFonts w:hint="eastAsia" w:ascii="仿宋" w:hAnsi="仿宋" w:eastAsia="仿宋" w:cs="仿宋"/>
          <w:color w:val="auto"/>
          <w:sz w:val="24"/>
          <w:szCs w:val="24"/>
          <w:highlight w:val="none"/>
          <w:lang w:val="en-US" w:eastAsia="zh-CN"/>
        </w:rPr>
        <w:t>（三）各研究生培养指导委员会和培养单位务必高度重视，做好培养方案修订（制定）工作。如有任何疑问请联系研究生院培养办公室，联系人：张玉婷、刘桐，联系电话：027-88386680。 </w:t>
      </w:r>
    </w:p>
    <w:sectPr>
      <w:footerReference r:id="rId3" w:type="default"/>
      <w:pgSz w:w="11906" w:h="16838"/>
      <w:pgMar w:top="1440" w:right="1417" w:bottom="1440"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321A0"/>
    <w:rsid w:val="0E4D3EE2"/>
    <w:rsid w:val="0EF63930"/>
    <w:rsid w:val="128759E4"/>
    <w:rsid w:val="18AC62F6"/>
    <w:rsid w:val="1EA9773A"/>
    <w:rsid w:val="22C734A1"/>
    <w:rsid w:val="26D576CB"/>
    <w:rsid w:val="2DE92F29"/>
    <w:rsid w:val="2E641F42"/>
    <w:rsid w:val="35272229"/>
    <w:rsid w:val="3D314F1E"/>
    <w:rsid w:val="41F35535"/>
    <w:rsid w:val="42785DD1"/>
    <w:rsid w:val="42E73CB8"/>
    <w:rsid w:val="433E6E3B"/>
    <w:rsid w:val="44D25183"/>
    <w:rsid w:val="478E2382"/>
    <w:rsid w:val="4A224B3D"/>
    <w:rsid w:val="4AC26504"/>
    <w:rsid w:val="504E7437"/>
    <w:rsid w:val="518D29B6"/>
    <w:rsid w:val="5788572A"/>
    <w:rsid w:val="5B3735D0"/>
    <w:rsid w:val="5DA87470"/>
    <w:rsid w:val="60B91AF5"/>
    <w:rsid w:val="627E27DC"/>
    <w:rsid w:val="663445C9"/>
    <w:rsid w:val="673C7C24"/>
    <w:rsid w:val="67E06704"/>
    <w:rsid w:val="6CAC613A"/>
    <w:rsid w:val="6E752862"/>
    <w:rsid w:val="74EC436A"/>
    <w:rsid w:val="75841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0" w:beforeLines="0" w:beforeAutospacing="0" w:after="20" w:afterLines="0" w:afterAutospacing="0" w:line="240" w:lineRule="auto"/>
      <w:jc w:val="left"/>
      <w:outlineLvl w:val="1"/>
    </w:pPr>
    <w:rPr>
      <w:rFonts w:ascii="Arial" w:hAnsi="Arial" w:eastAsia="仿宋"/>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rFonts w:ascii="Tahoma" w:hAnsi="Tahoma" w:eastAsia="Tahoma" w:cs="Tahoma"/>
      <w:b/>
      <w:bCs/>
    </w:rPr>
  </w:style>
  <w:style w:type="character" w:styleId="13">
    <w:name w:val="FollowedHyperlink"/>
    <w:basedOn w:val="11"/>
    <w:qFormat/>
    <w:uiPriority w:val="0"/>
    <w:rPr>
      <w:rFonts w:hint="default" w:ascii="Tahoma" w:hAnsi="Tahoma" w:eastAsia="Tahoma" w:cs="Tahoma"/>
      <w:color w:val="800080"/>
      <w:sz w:val="18"/>
      <w:szCs w:val="18"/>
      <w:u w:val="single"/>
    </w:rPr>
  </w:style>
  <w:style w:type="character" w:styleId="14">
    <w:name w:val="Hyperlink"/>
    <w:basedOn w:val="11"/>
    <w:qFormat/>
    <w:uiPriority w:val="0"/>
    <w:rPr>
      <w:rFonts w:hint="default" w:ascii="Tahoma" w:hAnsi="Tahoma" w:eastAsia="Tahoma" w:cs="Tahoma"/>
      <w:color w:val="0000FF"/>
      <w:sz w:val="18"/>
      <w:szCs w:val="18"/>
      <w:u w:val="single"/>
    </w:rPr>
  </w:style>
  <w:style w:type="character" w:styleId="15">
    <w:name w:val="footnote reference"/>
    <w:basedOn w:val="11"/>
    <w:qFormat/>
    <w:uiPriority w:val="0"/>
    <w:rPr>
      <w:vertAlign w:val="superscript"/>
    </w:rPr>
  </w:style>
  <w:style w:type="character" w:customStyle="1" w:styleId="16">
    <w:name w:val="bdexpandicon"/>
    <w:basedOn w:val="11"/>
    <w:qFormat/>
    <w:uiPriority w:val="0"/>
    <w:rPr>
      <w:rFonts w:ascii="Webdings" w:hAnsi="Webdings" w:eastAsia="Webdings" w:cs="Webdings"/>
      <w:sz w:val="20"/>
      <w:szCs w:val="20"/>
    </w:rPr>
  </w:style>
  <w:style w:type="character" w:customStyle="1" w:styleId="17">
    <w:name w:val="bdexpandicon1"/>
    <w:basedOn w:val="11"/>
    <w:qFormat/>
    <w:uiPriority w:val="0"/>
    <w:rPr>
      <w:color w:val="000000"/>
    </w:rPr>
  </w:style>
  <w:style w:type="character" w:customStyle="1" w:styleId="18">
    <w:name w:val="bdexpandicon2"/>
    <w:basedOn w:val="11"/>
    <w:qFormat/>
    <w:uiPriority w:val="0"/>
    <w:rPr>
      <w:rFonts w:hint="default" w:ascii="Tahoma" w:hAnsi="Tahoma" w:eastAsia="Tahoma" w:cs="Tahoma"/>
      <w:color w:val="000000"/>
      <w:sz w:val="14"/>
      <w:szCs w:val="14"/>
      <w:bdr w:val="single" w:color="000000" w:sz="6" w:space="0"/>
      <w:shd w:val="clear" w:fill="FFFFFF"/>
      <w:vertAlign w:val="baseline"/>
    </w:rPr>
  </w:style>
  <w:style w:type="character" w:customStyle="1" w:styleId="19">
    <w:name w:val="eseditbar"/>
    <w:basedOn w:val="11"/>
    <w:qFormat/>
    <w:uiPriority w:val="0"/>
    <w:rPr>
      <w:color w:val="000000"/>
    </w:rPr>
  </w:style>
  <w:style w:type="character" w:customStyle="1" w:styleId="20">
    <w:name w:val="eseditbar1"/>
    <w:basedOn w:val="11"/>
    <w:qFormat/>
    <w:uiPriority w:val="0"/>
    <w:rPr>
      <w:color w:val="000000"/>
      <w:shd w:val="clear" w:fill="99999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zyt</dc:creator>
  <cp:lastModifiedBy>张玉婷</cp:lastModifiedBy>
  <cp:lastPrinted>2021-06-24T06:53:00Z</cp:lastPrinted>
  <dcterms:modified xsi:type="dcterms:W3CDTF">2021-09-15T08:28:24Z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00FC65E886EA41B283FA18FBAD6D0557</vt:lpwstr>
  </property>
</Properties>
</file>