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17B3">
      <w:pPr>
        <w:ind w:left="1756" w:leftChars="665" w:hanging="360" w:hangingChars="1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中南财经政法大学研究生课程排课指南</w:t>
      </w:r>
    </w:p>
    <w:p w14:paraId="27890A9E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一、排课基本步骤：</w:t>
      </w:r>
    </w:p>
    <w:p w14:paraId="09E6C703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关联主修专业——排课——编辑基本信息——设置周次——选择任课教师——选择连排模式——课表点选时间点——选择教室——锁定——可选教学班维护（是否参与公选、是否参与跨学科专业课选修、）</w:t>
      </w:r>
    </w:p>
    <w:p w14:paraId="3F91DCE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二、上课班级</w:t>
      </w:r>
    </w:p>
    <w:p w14:paraId="6A0A520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班：原则上只能对课号相同的教学任务采取合班处理，未进行合班处理的教学任务，将按教学任务分别排课。其中，博士与硕士专业课课堂不允许合班，专硕与学硕专业课课堂原则上不允许合班。无论采取何种形式合班，均视为形成了一条合班教学任务，在排课、计算课时酬金时将按一条教学任务处理。</w:t>
      </w:r>
    </w:p>
    <w:p w14:paraId="06D8CCD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拆班：建议各培养单位本着保证教学质量，提高教学效果，结合专业特点和教学资源等实际情况，控制课堂规模。硕士课程人数大于60人、博士课程人数大于15人的专业课程可以进行拆班，培养单位可直接在系统中点选“新增教学班”来完成分班情况。</w:t>
      </w:r>
    </w:p>
    <w:p w14:paraId="6607D174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三、课容量</w:t>
      </w:r>
    </w:p>
    <w:p w14:paraId="3F7990E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开课教学班人数，各培养单位在进行教学任务安排时，设置的课程总容量不得低于该课程基准总容量。为了满足学术型硕士研究生跨学科选课，除确定不适合外专业研究生修读的，其他专业课的课程人数上限在保证本专业选课的基础上增加3人以上。</w:t>
      </w:r>
    </w:p>
    <w:p w14:paraId="2F152F37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四、授课周次与节次</w:t>
      </w:r>
    </w:p>
    <w:p w14:paraId="4186FFA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根据学校202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学年第二学期校历安排，</w:t>
      </w:r>
      <w:r>
        <w:rPr>
          <w:rFonts w:ascii="仿宋" w:hAnsi="仿宋" w:eastAsia="仿宋" w:cs="仿宋"/>
          <w:sz w:val="28"/>
          <w:szCs w:val="28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年2月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日（星期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）开始计算第一周，2月2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日开始教学活动，合计19周，课程教学：1-17周。</w:t>
      </w:r>
    </w:p>
    <w:p w14:paraId="22A6D57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授课周次严格规范为1-8周、10-17周、1-12周或1-16周（留学生课程从第2周开始）。课表中，不允许出现不规范周次的课程安排；</w:t>
      </w:r>
    </w:p>
    <w:p w14:paraId="09C579A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周四下午不予安排课程；</w:t>
      </w:r>
    </w:p>
    <w:p w14:paraId="07E72A5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周一下午、周三下午为公共选修课固定时间点，专业课与学科基础课原则上应尽量避开；</w:t>
      </w:r>
    </w:p>
    <w:p w14:paraId="019A564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研究生课程一律4节连排（体育课、公共外语课除外）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5593DE3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五、任课教师</w:t>
      </w:r>
    </w:p>
    <w:p w14:paraId="3DCAED2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如以“课程组”形式授课，请将授课教师一起录入系统。请各培养单位对于有2个及以上授课教师的课程在系统内标明主讲和辅讲教师，如培养单位不进行标注，系统默认第一授课老师为主讲老师。</w:t>
      </w:r>
    </w:p>
    <w:p w14:paraId="7E7B5EC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系统中查找不到的教师请联系研究生院培养办确认授课资格后，提交《新增任课教师申请表》。</w:t>
      </w:r>
    </w:p>
    <w:p w14:paraId="0A5D24B1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六、授课地点</w:t>
      </w:r>
    </w:p>
    <w:p w14:paraId="47542C7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所有研究生课程原则上统一安排至文添楼、文澴楼。确需使用学院语音室、实验室、机房的课程，请各培养单位提前报研究生院备案。</w:t>
      </w:r>
    </w:p>
    <w:p w14:paraId="18B83EB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在教室安排方面，合理利用教室资源，安排的教室容量应当尽量匹配排课人数，避免“小课堂、大教室”的安排；同时结合培养单位及学生住宿情况，优先安排距离相对较近教学楼。</w:t>
      </w:r>
    </w:p>
    <w:p w14:paraId="54CF59CD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七、避免冲突</w:t>
      </w:r>
    </w:p>
    <w:p w14:paraId="4999CC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各培养单位在安排教师教学任务时，同一任课教师的研究生教学任务应注意与本科教育、继续教育等其他性质教学任务错开，以防发生冲突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 w14:paraId="3E41D90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所有非全日制的课程统一按照校历进行排课，以免因合并教学周导致课程冲突。</w:t>
      </w:r>
    </w:p>
    <w:p w14:paraId="05177C91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八、课表核查</w:t>
      </w:r>
    </w:p>
    <w:p w14:paraId="616B965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排课完成后，请于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“培养管理——课表查询——总课表查看——方案课表打印”</w:t>
      </w:r>
      <w:r>
        <w:rPr>
          <w:rFonts w:hint="eastAsia" w:ascii="仿宋" w:hAnsi="仿宋" w:eastAsia="仿宋" w:cs="仿宋"/>
          <w:sz w:val="28"/>
          <w:szCs w:val="28"/>
        </w:rPr>
        <w:t>，选择对应层次及专业，确保专业内课程不冲突。</w:t>
      </w:r>
    </w:p>
    <w:p w14:paraId="407D138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教学任务一旦确定，提交审核后，不得无故变更。</w:t>
      </w:r>
    </w:p>
    <w:p w14:paraId="46554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mY2MGY1YmNjYTI4YmI3YWYzNjgxN2M2NWY5MGQifQ=="/>
  </w:docVars>
  <w:rsids>
    <w:rsidRoot w:val="00E72CA2"/>
    <w:rsid w:val="000140A2"/>
    <w:rsid w:val="00967C47"/>
    <w:rsid w:val="00E72CA2"/>
    <w:rsid w:val="1D7611EC"/>
    <w:rsid w:val="2422619F"/>
    <w:rsid w:val="270D3E5C"/>
    <w:rsid w:val="427C4433"/>
    <w:rsid w:val="46CC1167"/>
    <w:rsid w:val="50117328"/>
    <w:rsid w:val="67A9715B"/>
    <w:rsid w:val="7F3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1115</Words>
  <Characters>1146</Characters>
  <Lines>8</Lines>
  <Paragraphs>2</Paragraphs>
  <TotalTime>1</TotalTime>
  <ScaleCrop>false</ScaleCrop>
  <LinksUpToDate>false</LinksUpToDate>
  <CharactersWithSpaces>1146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龚陈</cp:lastModifiedBy>
  <dcterms:modified xsi:type="dcterms:W3CDTF">2024-11-22T02:24:47Z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89F55D1B77EC4540929431553F65EF20_13</vt:lpwstr>
  </property>
</Properties>
</file>