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45297B">
      <w:pPr>
        <w:spacing w:after="312" w:line="560" w:lineRule="exact"/>
        <w:jc w:val="center"/>
        <w:rPr>
          <w:rFonts w:hint="eastAsia" w:ascii="宋体" w:hAnsi="宋体" w:cs="宋体"/>
          <w:b/>
          <w:sz w:val="28"/>
          <w:szCs w:val="28"/>
        </w:rPr>
      </w:pPr>
      <w:r>
        <w:rPr>
          <w:rFonts w:hint="eastAsia" w:ascii="方正小标宋简体" w:hAnsi="方正小标宋简体" w:eastAsia="方正小标宋简体" w:cs="方正小标宋简体"/>
          <w:spacing w:val="-8"/>
          <w:sz w:val="32"/>
          <w:szCs w:val="32"/>
        </w:rPr>
        <w:fldChar w:fldCharType="begin"/>
      </w:r>
      <w:r>
        <w:rPr>
          <w:rFonts w:hint="eastAsia" w:ascii="方正小标宋简体" w:hAnsi="方正小标宋简体" w:eastAsia="方正小标宋简体" w:cs="方正小标宋简体"/>
          <w:spacing w:val="-8"/>
          <w:sz w:val="32"/>
          <w:szCs w:val="32"/>
        </w:rPr>
        <w:instrText xml:space="preserve">ADDIN CNKISM.UserStyle</w:instrText>
      </w:r>
      <w:r>
        <w:rPr>
          <w:rFonts w:hint="eastAsia" w:ascii="方正小标宋简体" w:hAnsi="方正小标宋简体" w:eastAsia="方正小标宋简体" w:cs="方正小标宋简体"/>
          <w:spacing w:val="-8"/>
          <w:sz w:val="32"/>
          <w:szCs w:val="32"/>
        </w:rPr>
        <w:fldChar w:fldCharType="separate"/>
      </w:r>
      <w:r>
        <w:rPr>
          <w:rFonts w:hint="eastAsia" w:ascii="方正小标宋简体" w:hAnsi="方正小标宋简体" w:eastAsia="方正小标宋简体" w:cs="方正小标宋简体"/>
          <w:spacing w:val="-8"/>
          <w:sz w:val="32"/>
          <w:szCs w:val="32"/>
        </w:rPr>
        <w:fldChar w:fldCharType="end"/>
      </w:r>
      <w:r>
        <w:rPr>
          <w:rFonts w:hint="eastAsia" w:ascii="方正小标宋简体" w:hAnsi="方正小标宋简体" w:eastAsia="方正小标宋简体" w:cs="方正小标宋简体"/>
          <w:spacing w:val="-8"/>
          <w:sz w:val="32"/>
          <w:szCs w:val="32"/>
        </w:rPr>
        <w:t>中南财经政法大学修订（制定）研究生培养方案的基本意见</w:t>
      </w:r>
    </w:p>
    <w:p w14:paraId="67582444">
      <w:pPr>
        <w:spacing w:line="480" w:lineRule="exact"/>
        <w:ind w:firstLine="562"/>
        <w:jc w:val="left"/>
        <w:rPr>
          <w:rFonts w:hint="eastAsia" w:ascii="宋体" w:hAnsi="宋体" w:cs="宋体"/>
          <w:b/>
          <w:sz w:val="28"/>
          <w:szCs w:val="28"/>
        </w:rPr>
      </w:pPr>
      <w:r>
        <w:rPr>
          <w:rFonts w:hint="eastAsia" w:ascii="宋体" w:hAnsi="宋体" w:cs="宋体"/>
          <w:b/>
          <w:sz w:val="28"/>
          <w:szCs w:val="28"/>
        </w:rPr>
        <w:t>一、指导性思想</w:t>
      </w:r>
    </w:p>
    <w:p w14:paraId="2B714701">
      <w:pPr>
        <w:spacing w:line="480" w:lineRule="exact"/>
        <w:ind w:firstLine="560"/>
        <w:jc w:val="left"/>
        <w:rPr>
          <w:rFonts w:hint="eastAsia" w:ascii="宋体" w:hAnsi="宋体" w:cs="宋体"/>
          <w:sz w:val="28"/>
          <w:szCs w:val="28"/>
        </w:rPr>
      </w:pPr>
      <w:r>
        <w:rPr>
          <w:rFonts w:hint="eastAsia" w:ascii="宋体" w:hAnsi="宋体" w:cs="宋体"/>
          <w:sz w:val="28"/>
          <w:szCs w:val="28"/>
        </w:rPr>
        <w:t>进一步深化巡视整改，贯彻落实全国教育大会精神，以立德树人为根本任务，把握新时代学位与研究生教育改革方向，进一步优化研究生培养过程，将“德德智体美劳”等新教育理念充分吸收到新方案中，提高我校研究生人才培养质量。</w:t>
      </w:r>
    </w:p>
    <w:p w14:paraId="48CCA760">
      <w:pPr>
        <w:spacing w:line="480" w:lineRule="exact"/>
        <w:ind w:firstLine="562"/>
        <w:jc w:val="left"/>
        <w:rPr>
          <w:rFonts w:hint="eastAsia" w:ascii="宋体" w:hAnsi="宋体" w:cs="宋体"/>
          <w:b/>
          <w:sz w:val="28"/>
          <w:szCs w:val="28"/>
        </w:rPr>
      </w:pPr>
      <w:r>
        <w:rPr>
          <w:rFonts w:hint="eastAsia" w:ascii="宋体" w:hAnsi="宋体" w:cs="宋体"/>
          <w:b/>
          <w:sz w:val="28"/>
          <w:szCs w:val="28"/>
        </w:rPr>
        <w:t>二、文件依据</w:t>
      </w:r>
    </w:p>
    <w:p w14:paraId="495C7A7B">
      <w:pPr>
        <w:spacing w:line="480" w:lineRule="exact"/>
        <w:ind w:firstLine="280"/>
        <w:jc w:val="left"/>
        <w:rPr>
          <w:rFonts w:hint="eastAsia" w:ascii="宋体" w:hAnsi="宋体" w:cs="宋体"/>
          <w:sz w:val="28"/>
          <w:szCs w:val="28"/>
          <w:shd w:val="clear" w:color="auto" w:fill="FFFFFF"/>
        </w:rPr>
      </w:pPr>
      <w:r>
        <w:rPr>
          <w:rFonts w:hint="eastAsia" w:ascii="宋体" w:hAnsi="宋体" w:cs="宋体"/>
          <w:sz w:val="28"/>
          <w:szCs w:val="28"/>
        </w:rPr>
        <w:t>（一）《关于进一步规范和加强研究生培养管理的通知》（教研厅〔201</w:t>
      </w:r>
      <w:r>
        <w:rPr>
          <w:rFonts w:hint="eastAsia" w:ascii="宋体" w:hAnsi="宋体" w:cs="宋体"/>
          <w:sz w:val="28"/>
          <w:szCs w:val="28"/>
          <w:shd w:val="clear" w:color="auto" w:fill="FFFFFF"/>
        </w:rPr>
        <w:t>9〕1号）；</w:t>
      </w:r>
    </w:p>
    <w:p w14:paraId="408121BC">
      <w:pPr>
        <w:spacing w:line="480" w:lineRule="exact"/>
        <w:ind w:firstLine="280"/>
        <w:jc w:val="left"/>
        <w:rPr>
          <w:rFonts w:hint="eastAsia" w:ascii="宋体" w:hAnsi="宋体" w:cs="宋体"/>
          <w:sz w:val="28"/>
          <w:szCs w:val="28"/>
          <w:shd w:val="clear" w:color="auto" w:fill="FFFFFF"/>
        </w:rPr>
      </w:pPr>
      <w:r>
        <w:rPr>
          <w:rFonts w:hint="eastAsia" w:ascii="宋体" w:hAnsi="宋体" w:cs="宋体"/>
          <w:sz w:val="28"/>
          <w:szCs w:val="28"/>
        </w:rPr>
        <w:t>（二）《新时代高校思想政治理论课教学工作基本要求》（教社科〔2018〕2号）</w:t>
      </w:r>
    </w:p>
    <w:p w14:paraId="5801E777">
      <w:pPr>
        <w:spacing w:line="480" w:lineRule="exact"/>
        <w:ind w:firstLine="280"/>
        <w:jc w:val="left"/>
        <w:rPr>
          <w:rFonts w:hint="eastAsia" w:ascii="宋体" w:hAnsi="宋体" w:cs="宋体"/>
          <w:sz w:val="28"/>
          <w:szCs w:val="28"/>
        </w:rPr>
      </w:pPr>
      <w:r>
        <w:rPr>
          <w:rFonts w:hint="eastAsia" w:ascii="宋体" w:hAnsi="宋体" w:cs="宋体"/>
          <w:sz w:val="28"/>
          <w:szCs w:val="28"/>
        </w:rPr>
        <w:t>（三）《教育部关于加强专业学位研究生案例教学和联合培养基地建设的意见》（教研〔2015〕1号）；</w:t>
      </w:r>
    </w:p>
    <w:p w14:paraId="5F6B7D3F">
      <w:pPr>
        <w:spacing w:line="480" w:lineRule="exact"/>
        <w:ind w:firstLine="280"/>
        <w:jc w:val="left"/>
        <w:rPr>
          <w:rFonts w:hint="eastAsia" w:ascii="宋体" w:hAnsi="宋体" w:cs="宋体"/>
          <w:sz w:val="28"/>
          <w:szCs w:val="28"/>
        </w:rPr>
      </w:pPr>
      <w:r>
        <w:rPr>
          <w:rFonts w:hint="eastAsia" w:ascii="宋体" w:hAnsi="宋体" w:cs="宋体"/>
          <w:sz w:val="28"/>
          <w:szCs w:val="28"/>
        </w:rPr>
        <w:t>（四）《教育部关于改进和加强研究生课程建设的意见》（教研〔2014〕5号）；</w:t>
      </w:r>
    </w:p>
    <w:p w14:paraId="14C69AC7">
      <w:pPr>
        <w:spacing w:line="480" w:lineRule="exact"/>
        <w:ind w:firstLine="280"/>
        <w:jc w:val="left"/>
        <w:rPr>
          <w:rFonts w:hint="eastAsia" w:ascii="宋体" w:hAnsi="宋体" w:cs="宋体"/>
          <w:sz w:val="28"/>
          <w:szCs w:val="28"/>
        </w:rPr>
      </w:pPr>
      <w:r>
        <w:rPr>
          <w:rFonts w:hint="eastAsia" w:ascii="宋体" w:hAnsi="宋体" w:cs="宋体"/>
          <w:sz w:val="28"/>
          <w:szCs w:val="28"/>
        </w:rPr>
        <w:t>（五）教育部、</w:t>
      </w:r>
      <w:bookmarkStart w:id="0" w:name="_GoBack"/>
      <w:bookmarkEnd w:id="0"/>
      <w:r>
        <w:rPr>
          <w:rFonts w:hint="eastAsia" w:ascii="宋体" w:hAnsi="宋体" w:cs="宋体"/>
          <w:sz w:val="28"/>
          <w:szCs w:val="28"/>
          <w:lang w:eastAsia="zh-CN"/>
        </w:rPr>
        <w:t>人力资源和社会保障部</w:t>
      </w:r>
      <w:r>
        <w:rPr>
          <w:rFonts w:hint="eastAsia" w:ascii="宋体" w:hAnsi="宋体" w:cs="宋体"/>
          <w:sz w:val="28"/>
          <w:szCs w:val="28"/>
        </w:rPr>
        <w:t>《关于深入推进专业学位研究生培养模式改革的意见》（教研〔2013〕3号）；</w:t>
      </w:r>
    </w:p>
    <w:p w14:paraId="1E21B0DA">
      <w:pPr>
        <w:spacing w:line="480" w:lineRule="exact"/>
        <w:ind w:firstLine="280"/>
        <w:jc w:val="left"/>
        <w:rPr>
          <w:rFonts w:hint="eastAsia" w:ascii="宋体" w:hAnsi="宋体" w:cs="宋体"/>
          <w:sz w:val="28"/>
          <w:szCs w:val="28"/>
        </w:rPr>
      </w:pPr>
      <w:r>
        <w:rPr>
          <w:rFonts w:hint="eastAsia" w:ascii="宋体" w:hAnsi="宋体" w:cs="宋体"/>
          <w:sz w:val="28"/>
          <w:szCs w:val="28"/>
        </w:rPr>
        <w:t>（六）教育部、国家发展和改革委员会、财政部《关于深化研究生教育改革的意见》（教研〔2013〕1号）；</w:t>
      </w:r>
    </w:p>
    <w:p w14:paraId="1351371A">
      <w:pPr>
        <w:spacing w:line="480" w:lineRule="exact"/>
        <w:ind w:firstLine="280"/>
        <w:jc w:val="left"/>
        <w:rPr>
          <w:rFonts w:hint="eastAsia" w:ascii="宋体" w:hAnsi="宋体" w:cs="宋体"/>
          <w:b/>
          <w:bCs/>
          <w:sz w:val="28"/>
          <w:szCs w:val="28"/>
        </w:rPr>
      </w:pPr>
      <w:r>
        <w:rPr>
          <w:rFonts w:hint="eastAsia" w:ascii="宋体" w:hAnsi="宋体" w:cs="宋体"/>
          <w:sz w:val="28"/>
          <w:szCs w:val="28"/>
        </w:rPr>
        <w:t>（七）《中南财经政法大学研究生教学规程（试行）》（中南大研字〔2018〕20号）等校内研究生培养管理文件。</w:t>
      </w:r>
    </w:p>
    <w:p w14:paraId="2071FDCC">
      <w:pPr>
        <w:pStyle w:val="193"/>
        <w:spacing w:line="480" w:lineRule="exact"/>
        <w:ind w:firstLine="562"/>
        <w:rPr>
          <w:rFonts w:hint="eastAsia" w:ascii="宋体" w:hAnsi="宋体" w:cs="宋体"/>
          <w:b/>
          <w:bCs/>
          <w:sz w:val="28"/>
          <w:szCs w:val="28"/>
        </w:rPr>
      </w:pPr>
      <w:r>
        <w:rPr>
          <w:rFonts w:hint="eastAsia" w:ascii="宋体" w:hAnsi="宋体" w:cs="宋体"/>
          <w:b/>
          <w:bCs/>
          <w:sz w:val="28"/>
          <w:szCs w:val="28"/>
        </w:rPr>
        <w:t>三、基本原则</w:t>
      </w:r>
    </w:p>
    <w:p w14:paraId="7906FBDC">
      <w:pPr>
        <w:pStyle w:val="193"/>
        <w:spacing w:line="480" w:lineRule="exact"/>
        <w:rPr>
          <w:rFonts w:hint="eastAsia" w:ascii="宋体" w:hAnsi="宋体" w:cs="宋体"/>
          <w:b/>
          <w:bCs/>
          <w:sz w:val="28"/>
          <w:szCs w:val="28"/>
        </w:rPr>
      </w:pPr>
      <w:r>
        <w:rPr>
          <w:rFonts w:hint="eastAsia" w:ascii="宋体" w:hAnsi="宋体" w:cs="宋体"/>
          <w:sz w:val="28"/>
          <w:szCs w:val="28"/>
        </w:rPr>
        <w:t>（一）一级学科原则：原则上按照一级学科修订（制定）培养方案。具有一级学科授权的学科专业，相同类型相同一级学科研究生学位课程中的公共课和学科基础课要相同。</w:t>
      </w:r>
    </w:p>
    <w:p w14:paraId="0CBEEDF8">
      <w:pPr>
        <w:pStyle w:val="193"/>
        <w:spacing w:line="480" w:lineRule="exact"/>
        <w:ind w:firstLine="280"/>
        <w:rPr>
          <w:rFonts w:hint="eastAsia" w:ascii="宋体" w:hAnsi="宋体" w:cs="宋体"/>
          <w:sz w:val="28"/>
          <w:szCs w:val="28"/>
        </w:rPr>
      </w:pPr>
      <w:r>
        <w:rPr>
          <w:rFonts w:hint="eastAsia" w:ascii="宋体" w:hAnsi="宋体" w:cs="宋体"/>
          <w:sz w:val="28"/>
          <w:szCs w:val="28"/>
        </w:rPr>
        <w:t>（二）同步原则：同时具有博士（含留学生）、硕士（含留学生）学位授予权的学科专业，要同步修订（制定）博士生（含留学生）、硕士生（含留学生）的培养方案。需要处理好相同学科博士、硕士学位点的培养方案课程间的衔接关系，明确不同层次的培养要求。</w:t>
      </w:r>
    </w:p>
    <w:p w14:paraId="4C375AE5">
      <w:pPr>
        <w:pStyle w:val="193"/>
        <w:spacing w:line="480" w:lineRule="exact"/>
        <w:ind w:firstLine="280"/>
        <w:rPr>
          <w:rFonts w:hint="eastAsia" w:ascii="宋体" w:hAnsi="宋体" w:cs="宋体"/>
          <w:sz w:val="28"/>
          <w:szCs w:val="28"/>
        </w:rPr>
      </w:pPr>
      <w:r>
        <w:rPr>
          <w:rFonts w:hint="eastAsia" w:ascii="宋体" w:hAnsi="宋体" w:cs="宋体"/>
          <w:sz w:val="28"/>
          <w:szCs w:val="28"/>
        </w:rPr>
        <w:t>（三）质量原则：所有类型研究生的培养方案，其课程设置和培养环节的具体要求必须以提高研究生的培养质量为核心。学术型研究生必须着重培养研究能力和创新能力，专业学位研究生必须着重培养实践能力和职业能力。</w:t>
      </w:r>
    </w:p>
    <w:p w14:paraId="3AFCDA18">
      <w:pPr>
        <w:pStyle w:val="193"/>
        <w:spacing w:line="480" w:lineRule="exact"/>
        <w:ind w:firstLine="280"/>
        <w:rPr>
          <w:rFonts w:hint="eastAsia" w:ascii="宋体" w:hAnsi="宋体" w:cs="宋体"/>
          <w:sz w:val="28"/>
          <w:szCs w:val="28"/>
        </w:rPr>
      </w:pPr>
      <w:r>
        <w:rPr>
          <w:rFonts w:hint="eastAsia" w:ascii="宋体" w:hAnsi="宋体" w:cs="宋体"/>
          <w:sz w:val="28"/>
          <w:szCs w:val="28"/>
        </w:rPr>
        <w:t>（四）高水平原则：以高水平、国际化为理念，各培养单位应当充分利用我校2018年高标准课程体系建设项目成果、吸收借鉴国内外先进的研究生培养经验和管理模式，优化和规范研究生培养过程。</w:t>
      </w:r>
    </w:p>
    <w:p w14:paraId="45AB12EE">
      <w:pPr>
        <w:pStyle w:val="193"/>
        <w:spacing w:line="480" w:lineRule="exact"/>
        <w:ind w:firstLine="280"/>
        <w:rPr>
          <w:rFonts w:hint="eastAsia" w:ascii="宋体" w:hAnsi="宋体" w:cs="宋体"/>
          <w:sz w:val="28"/>
          <w:szCs w:val="28"/>
        </w:rPr>
      </w:pPr>
      <w:r>
        <w:rPr>
          <w:rFonts w:hint="eastAsia" w:ascii="宋体" w:hAnsi="宋体" w:cs="宋体"/>
          <w:sz w:val="28"/>
          <w:szCs w:val="28"/>
        </w:rPr>
        <w:t>（五）跨学科培养原则：鼓励多学科交叉培养，在课程体系建设、培养过程、导师指导等方面应当切实体现学科交叉融合的优势，拓宽研究生学术视野，激发创新思维。</w:t>
      </w:r>
    </w:p>
    <w:p w14:paraId="6F4B1D4A">
      <w:pPr>
        <w:pStyle w:val="193"/>
        <w:spacing w:line="480" w:lineRule="exact"/>
        <w:ind w:firstLine="280"/>
        <w:rPr>
          <w:rFonts w:hint="eastAsia" w:ascii="宋体" w:hAnsi="宋体" w:cs="宋体"/>
          <w:sz w:val="28"/>
          <w:szCs w:val="28"/>
        </w:rPr>
      </w:pPr>
      <w:r>
        <w:rPr>
          <w:rFonts w:hint="eastAsia" w:ascii="宋体" w:hAnsi="宋体" w:cs="宋体"/>
          <w:sz w:val="28"/>
          <w:szCs w:val="28"/>
        </w:rPr>
        <w:t>（六）归口原则：对于在两个及以上单位共同招收和培养研究生的学科专业，由学科负责单位牵头，相关单位参与，共同讨论后修订（制定）培养方案。</w:t>
      </w:r>
    </w:p>
    <w:p w14:paraId="235C8E1B">
      <w:pPr>
        <w:pStyle w:val="193"/>
        <w:spacing w:line="480" w:lineRule="exact"/>
        <w:rPr>
          <w:rFonts w:hint="eastAsia" w:ascii="宋体" w:hAnsi="宋体" w:cs="宋体"/>
          <w:b/>
          <w:bCs/>
          <w:sz w:val="28"/>
          <w:szCs w:val="28"/>
        </w:rPr>
      </w:pPr>
      <w:r>
        <w:rPr>
          <w:rFonts w:hint="eastAsia" w:ascii="宋体" w:hAnsi="宋体" w:cs="宋体"/>
          <w:b/>
          <w:bCs/>
          <w:sz w:val="28"/>
          <w:szCs w:val="28"/>
        </w:rPr>
        <w:t>四、基本要求</w:t>
      </w:r>
    </w:p>
    <w:p w14:paraId="6D2D6855">
      <w:pPr>
        <w:pStyle w:val="193"/>
        <w:spacing w:line="480" w:lineRule="exact"/>
        <w:ind w:firstLine="560"/>
        <w:rPr>
          <w:rFonts w:hint="eastAsia" w:ascii="宋体" w:hAnsi="宋体" w:cs="宋体"/>
          <w:sz w:val="28"/>
          <w:szCs w:val="28"/>
        </w:rPr>
      </w:pPr>
      <w:r>
        <w:rPr>
          <w:rFonts w:hint="eastAsia" w:ascii="宋体" w:hAnsi="宋体" w:cs="宋体"/>
          <w:sz w:val="28"/>
          <w:szCs w:val="28"/>
        </w:rPr>
        <w:t>研究生培养方案的修订（制定）要依据国务院学位委员会办公室《一级学科博士、硕士学位基本要求》和全国专业学位研究生教育指导委员会《专业学位类别（领域）博士、硕士学位基本要求》，主要内容包括学制、学分设置</w:t>
      </w:r>
      <w:r>
        <w:rPr>
          <w:rFonts w:hint="eastAsia" w:ascii="宋体" w:hAnsi="宋体" w:cs="宋体"/>
          <w:sz w:val="28"/>
          <w:szCs w:val="28"/>
          <w:shd w:val="clear" w:color="auto" w:fill="F9F9F9"/>
        </w:rPr>
        <w:t>、</w:t>
      </w:r>
      <w:r>
        <w:rPr>
          <w:rFonts w:hint="eastAsia" w:ascii="宋体" w:hAnsi="宋体" w:cs="宋体"/>
          <w:sz w:val="28"/>
          <w:szCs w:val="28"/>
        </w:rPr>
        <w:t>研究方向、培养目标与要求（基本知识、基本素质、基本学术能力）、课程设置与教学计划、培养主要内容（培养方式与方法、学术活动与实践活动、学位论文基本要求、毕业与学位授予要求）等。</w:t>
      </w:r>
    </w:p>
    <w:p w14:paraId="38221EAF">
      <w:pPr>
        <w:pStyle w:val="193"/>
        <w:spacing w:line="480" w:lineRule="exact"/>
        <w:ind w:firstLine="365"/>
        <w:rPr>
          <w:rFonts w:hint="eastAsia" w:ascii="宋体" w:hAnsi="宋体" w:cs="宋体"/>
          <w:sz w:val="28"/>
          <w:szCs w:val="28"/>
        </w:rPr>
      </w:pPr>
      <w:r>
        <w:rPr>
          <w:rFonts w:hint="eastAsia" w:ascii="宋体" w:hAnsi="宋体" w:cs="宋体"/>
          <w:b/>
          <w:bCs/>
          <w:sz w:val="28"/>
          <w:szCs w:val="28"/>
        </w:rPr>
        <w:t>五、本次课程体系的重要修订（制定）内容</w:t>
      </w:r>
    </w:p>
    <w:p w14:paraId="64F51F09">
      <w:pPr>
        <w:pStyle w:val="193"/>
        <w:spacing w:line="480" w:lineRule="exact"/>
        <w:ind w:firstLine="280"/>
        <w:rPr>
          <w:rFonts w:hint="eastAsia" w:ascii="宋体" w:hAnsi="宋体" w:cs="宋体"/>
          <w:sz w:val="28"/>
          <w:szCs w:val="28"/>
        </w:rPr>
      </w:pPr>
      <w:r>
        <w:rPr>
          <w:rFonts w:hint="eastAsia" w:ascii="宋体" w:hAnsi="宋体" w:cs="宋体"/>
          <w:sz w:val="28"/>
          <w:szCs w:val="28"/>
        </w:rPr>
        <w:t>（一）完善研究生思想政治理论课程。</w:t>
      </w:r>
    </w:p>
    <w:p w14:paraId="1E95A4D8">
      <w:pPr>
        <w:pStyle w:val="193"/>
        <w:spacing w:line="480" w:lineRule="exact"/>
        <w:rPr>
          <w:rFonts w:hint="eastAsia" w:ascii="宋体" w:hAnsi="宋体" w:cs="宋体"/>
          <w:sz w:val="28"/>
          <w:szCs w:val="28"/>
        </w:rPr>
      </w:pPr>
      <w:r>
        <w:rPr>
          <w:rFonts w:hint="eastAsia" w:ascii="宋体" w:hAnsi="宋体" w:cs="宋体"/>
          <w:sz w:val="28"/>
          <w:szCs w:val="28"/>
        </w:rPr>
        <w:t>根据《新时代高校思想政治理论课教学工作基本要求》（教社科〔2018〕2号）文件精神，进一步落实好“习近平新时代中国特色社会主义思想”三进工作，拟力争将研究生思想政治理论课的课堂规模控制在 80 人以下，在博士研究生思想政治理论课试点专人专题式授课模式，提升思政课育人效果。</w:t>
      </w:r>
    </w:p>
    <w:p w14:paraId="6D7AC6B8">
      <w:pPr>
        <w:pStyle w:val="193"/>
        <w:spacing w:line="480" w:lineRule="exact"/>
        <w:ind w:firstLine="140"/>
        <w:rPr>
          <w:rFonts w:hint="eastAsia" w:ascii="宋体" w:hAnsi="宋体" w:cs="宋体"/>
          <w:sz w:val="28"/>
          <w:szCs w:val="28"/>
        </w:rPr>
      </w:pPr>
      <w:r>
        <w:rPr>
          <w:rFonts w:hint="eastAsia" w:ascii="宋体" w:hAnsi="宋体" w:cs="宋体"/>
          <w:sz w:val="28"/>
          <w:szCs w:val="28"/>
        </w:rPr>
        <w:t>（二）试行公共外语课程分类教学。</w:t>
      </w:r>
    </w:p>
    <w:p w14:paraId="5BCF0B57">
      <w:pPr>
        <w:pStyle w:val="193"/>
        <w:spacing w:line="480" w:lineRule="exact"/>
        <w:rPr>
          <w:rFonts w:hint="eastAsia" w:ascii="宋体" w:hAnsi="宋体" w:cs="宋体"/>
          <w:sz w:val="28"/>
          <w:szCs w:val="28"/>
        </w:rPr>
      </w:pPr>
      <w:r>
        <w:rPr>
          <w:rFonts w:hint="eastAsia" w:ascii="宋体" w:hAnsi="宋体" w:cs="宋体"/>
          <w:sz w:val="28"/>
          <w:szCs w:val="28"/>
        </w:rPr>
        <w:t>在研究生分专业英语教学的基础上，以“因材施教、分类指导、自愿选择、动态管理”为目标，科学配置教学资源，试点分类教学，进一步提高研究生的外语水平和语言综合应用能力，提升公共外语课程的教学效果。同时，各培养单位应以在硕博不同层次以一级学科为单位开设1-2门全英文课程（课程名称直接用英文），形成公共外语课程与专业英语课程的互补机制。</w:t>
      </w:r>
    </w:p>
    <w:p w14:paraId="512A5621">
      <w:pPr>
        <w:pStyle w:val="193"/>
        <w:spacing w:line="480" w:lineRule="exact"/>
        <w:ind w:firstLine="140"/>
        <w:rPr>
          <w:rFonts w:hint="eastAsia" w:ascii="宋体" w:hAnsi="宋体" w:cs="宋体"/>
          <w:sz w:val="28"/>
          <w:szCs w:val="28"/>
        </w:rPr>
      </w:pPr>
      <w:r>
        <w:rPr>
          <w:rFonts w:hint="eastAsia" w:ascii="宋体" w:hAnsi="宋体" w:cs="宋体"/>
          <w:sz w:val="28"/>
          <w:szCs w:val="28"/>
        </w:rPr>
        <w:t>（三）同类型相同一级学科的学科基础课要相同。</w:t>
      </w:r>
    </w:p>
    <w:p w14:paraId="29D975E9">
      <w:pPr>
        <w:pStyle w:val="193"/>
        <w:spacing w:line="480" w:lineRule="exact"/>
        <w:rPr>
          <w:rFonts w:hint="eastAsia" w:ascii="宋体" w:hAnsi="宋体" w:cs="宋体"/>
          <w:sz w:val="28"/>
          <w:szCs w:val="28"/>
        </w:rPr>
      </w:pPr>
      <w:r>
        <w:rPr>
          <w:rFonts w:hint="eastAsia" w:ascii="宋体" w:hAnsi="宋体" w:cs="宋体"/>
          <w:sz w:val="28"/>
          <w:szCs w:val="28"/>
        </w:rPr>
        <w:t>其中，高级（中级）微观经济学、高级（中级）宏观经济学、高级（中级）计量经济学仍由经济学院和统计与数学学院统一开设。经济学院和统计与数学学院应吸收校内优质师资力量，根据学生学科特点和学习基础试点分类教学，并将此类课程的课堂规模控制在80人以下，提升现有学科基础课的教学效果。其他培养单位如需单独开设，请报送专项需求报告至研究生院培养办。</w:t>
      </w:r>
    </w:p>
    <w:p w14:paraId="65E74298">
      <w:pPr>
        <w:pStyle w:val="193"/>
        <w:spacing w:line="480" w:lineRule="exact"/>
        <w:ind w:firstLine="0"/>
        <w:rPr>
          <w:rFonts w:hint="eastAsia" w:ascii="宋体" w:hAnsi="宋体" w:cs="宋体"/>
          <w:sz w:val="28"/>
          <w:szCs w:val="28"/>
        </w:rPr>
      </w:pPr>
      <w:r>
        <w:rPr>
          <w:rFonts w:hint="eastAsia" w:ascii="宋体" w:hAnsi="宋体" w:cs="宋体"/>
          <w:sz w:val="28"/>
          <w:szCs w:val="28"/>
        </w:rPr>
        <w:t>（四）增设论文写作指导课程。</w:t>
      </w:r>
    </w:p>
    <w:p w14:paraId="7C9BA8F9">
      <w:pPr>
        <w:pStyle w:val="193"/>
        <w:spacing w:line="480" w:lineRule="exact"/>
        <w:rPr>
          <w:rFonts w:hint="eastAsia" w:ascii="宋体" w:hAnsi="宋体" w:cs="宋体"/>
          <w:sz w:val="28"/>
          <w:szCs w:val="28"/>
        </w:rPr>
      </w:pPr>
      <w:r>
        <w:rPr>
          <w:rFonts w:hint="eastAsia" w:ascii="宋体" w:hAnsi="宋体" w:cs="宋体"/>
          <w:sz w:val="28"/>
          <w:szCs w:val="28"/>
        </w:rPr>
        <w:t>根据教育部办公厅发布《关于进一步规范和加强研究生培养管理的通知》（教研厅〔2019〕1号）的文件精神，培养单位要加强学术规范和学术道德教育，把论文写作指导课程作为必修课纳入研究生培养环节。因此，要求各培养单位在19版培养方案修订（制定）时根据学科特点开设论文指导课程。原开设有研究方法等类似指导性课程的，要求在此类课程中明确论文写作指导至少16学时并相应修改课程名称；无相关课程的，必须在专业课程体系中开设论文写作指导的专业课程（1-2学分）。</w:t>
      </w:r>
    </w:p>
    <w:p w14:paraId="1A1D9B1B">
      <w:pPr>
        <w:pStyle w:val="193"/>
        <w:spacing w:line="480" w:lineRule="exact"/>
        <w:ind w:firstLine="0"/>
        <w:rPr>
          <w:rFonts w:hint="eastAsia" w:ascii="宋体" w:hAnsi="宋体" w:cs="宋体"/>
          <w:sz w:val="28"/>
          <w:szCs w:val="28"/>
        </w:rPr>
      </w:pPr>
      <w:r>
        <w:rPr>
          <w:rFonts w:hint="eastAsia" w:ascii="宋体" w:hAnsi="宋体" w:cs="宋体"/>
          <w:sz w:val="28"/>
          <w:szCs w:val="28"/>
        </w:rPr>
        <w:t>（五）在学术型硕士课程体系试点跨学科课程。</w:t>
      </w:r>
    </w:p>
    <w:p w14:paraId="558F8B39">
      <w:pPr>
        <w:pStyle w:val="193"/>
        <w:spacing w:line="480" w:lineRule="exact"/>
        <w:rPr>
          <w:rFonts w:hint="eastAsia" w:ascii="宋体" w:hAnsi="宋体" w:cs="宋体"/>
          <w:sz w:val="28"/>
          <w:szCs w:val="28"/>
        </w:rPr>
      </w:pPr>
      <w:r>
        <w:rPr>
          <w:rFonts w:hint="eastAsia" w:ascii="宋体" w:hAnsi="宋体" w:cs="宋体"/>
          <w:sz w:val="28"/>
          <w:szCs w:val="28"/>
        </w:rPr>
        <w:t>根据《教育部关于改进和加强研究生课程建设的意见》（教研〔2014〕5号）的文件精神，培养单位要建立完善研究生跨学科、跨院（系）和跨校选课的制度机制。因此我校将在全日制学术型硕士中开展研究生课程跨学科互选专项工作。因此，要求各培养单位在培养方案修订（制定）时单列2学分的跨学科课。具体课程将由研究生从学校跨学科课程选课系统中选定。</w:t>
      </w:r>
    </w:p>
    <w:p w14:paraId="3B7684C4">
      <w:pPr>
        <w:pStyle w:val="193"/>
        <w:spacing w:line="480" w:lineRule="exact"/>
        <w:ind w:firstLine="0"/>
        <w:rPr>
          <w:rFonts w:hint="eastAsia" w:ascii="宋体" w:hAnsi="宋体" w:cs="宋体"/>
          <w:sz w:val="28"/>
          <w:szCs w:val="28"/>
        </w:rPr>
      </w:pPr>
      <w:r>
        <w:rPr>
          <w:rFonts w:hint="eastAsia" w:ascii="宋体" w:hAnsi="宋体" w:cs="宋体"/>
          <w:sz w:val="28"/>
          <w:szCs w:val="28"/>
        </w:rPr>
        <w:t>（六）不再新增双语课程，要规划全英文课程。</w:t>
      </w:r>
    </w:p>
    <w:p w14:paraId="38EF7928">
      <w:pPr>
        <w:pStyle w:val="193"/>
        <w:spacing w:line="480" w:lineRule="exact"/>
        <w:ind w:firstLine="560"/>
        <w:rPr>
          <w:rFonts w:hint="eastAsia" w:ascii="宋体" w:hAnsi="宋体" w:cs="宋体"/>
          <w:sz w:val="28"/>
          <w:szCs w:val="28"/>
        </w:rPr>
      </w:pPr>
      <w:r>
        <w:rPr>
          <w:rFonts w:hint="eastAsia" w:ascii="宋体" w:hAnsi="宋体" w:cs="宋体"/>
          <w:sz w:val="28"/>
          <w:szCs w:val="28"/>
        </w:rPr>
        <w:t>为进一步规范我校现有双语教学课程的建设与管理，提高现有课程教学水平，本次修订（制定）培养方案不再新增双语课程，如原有的双语课程更换任课教师请重新提交认定材料，研究生院将会通过专家随堂听课和学生评教情况综合评价，对于不符合学校双语标准的课堂将予以取消。为进一步推动学校教育的国际化进程，要求各培养单位在硕博不同层次以一级学科为单位开设1-2门全英文课程（课程名称直接用英文）。</w:t>
      </w:r>
    </w:p>
    <w:p w14:paraId="5FB1C8CB">
      <w:pPr>
        <w:pStyle w:val="193"/>
        <w:spacing w:line="480" w:lineRule="exact"/>
        <w:ind w:firstLine="280"/>
        <w:rPr>
          <w:rFonts w:hint="eastAsia" w:ascii="宋体" w:hAnsi="宋体" w:cs="宋体"/>
          <w:sz w:val="28"/>
          <w:szCs w:val="28"/>
        </w:rPr>
      </w:pPr>
      <w:r>
        <w:rPr>
          <w:rFonts w:hint="eastAsia" w:ascii="宋体" w:hAnsi="宋体" w:cs="宋体"/>
          <w:sz w:val="28"/>
          <w:szCs w:val="28"/>
        </w:rPr>
        <w:t>（七）开发推出“人工智能”、“大数据”和“互联网＋”等公共课程。</w:t>
      </w:r>
    </w:p>
    <w:p w14:paraId="5619B307">
      <w:pPr>
        <w:pStyle w:val="193"/>
        <w:spacing w:line="480" w:lineRule="exact"/>
        <w:ind w:firstLine="560"/>
        <w:rPr>
          <w:rFonts w:hint="eastAsia" w:ascii="宋体" w:hAnsi="宋体" w:cs="宋体"/>
          <w:sz w:val="28"/>
          <w:szCs w:val="28"/>
        </w:rPr>
      </w:pPr>
      <w:r>
        <w:rPr>
          <w:rFonts w:hint="eastAsia" w:ascii="宋体" w:hAnsi="宋体" w:cs="宋体"/>
          <w:sz w:val="28"/>
          <w:szCs w:val="28"/>
        </w:rPr>
        <w:t>根据教育部《高等学校人工智能创新行动计划》文件精神，鼓励各培养单位尤其是统计与数学学院、信息与安全工程学院要积极与校外相关专家合作，就开发“人工智能”、“大数据”和“互联网＋”等公共平台课程进行调研，在19版培养方案中开出这些课程。</w:t>
      </w:r>
    </w:p>
    <w:p w14:paraId="4CA5C7DF">
      <w:pPr>
        <w:pStyle w:val="193"/>
        <w:spacing w:line="480" w:lineRule="exact"/>
        <w:ind w:firstLine="280"/>
        <w:rPr>
          <w:rFonts w:hint="eastAsia" w:ascii="宋体" w:hAnsi="宋体" w:cs="宋体"/>
          <w:sz w:val="28"/>
          <w:szCs w:val="28"/>
        </w:rPr>
      </w:pPr>
      <w:r>
        <w:rPr>
          <w:rFonts w:hint="eastAsia" w:ascii="宋体" w:hAnsi="宋体" w:cs="宋体"/>
          <w:sz w:val="28"/>
          <w:szCs w:val="28"/>
        </w:rPr>
        <w:t>（八）鼓励开设职业伦理相关课程。</w:t>
      </w:r>
    </w:p>
    <w:p w14:paraId="491AEA37">
      <w:pPr>
        <w:pStyle w:val="193"/>
        <w:spacing w:line="480" w:lineRule="exact"/>
        <w:rPr>
          <w:rFonts w:hint="eastAsia" w:ascii="宋体" w:hAnsi="宋体" w:cs="宋体"/>
          <w:sz w:val="28"/>
          <w:szCs w:val="28"/>
        </w:rPr>
      </w:pPr>
      <w:r>
        <w:rPr>
          <w:rFonts w:hint="eastAsia" w:ascii="宋体" w:hAnsi="宋体" w:cs="宋体"/>
          <w:sz w:val="28"/>
          <w:szCs w:val="28"/>
        </w:rPr>
        <w:t>为落实我校将“习近平新时代中国特色社会主义思想”纳入专业课的建设规划，强化课程的价值导向和思想引领，增强学生的获得感和成长度，除有专硕教指委明确规定必须开设的《法律职业伦理》、《工程伦理》等课程外，学校鼓励培养单位在其他培养方案专业课中也开设职业伦理相关课程。</w:t>
      </w:r>
    </w:p>
    <w:p w14:paraId="41A66ECC">
      <w:pPr>
        <w:pStyle w:val="193"/>
        <w:spacing w:line="480" w:lineRule="exact"/>
        <w:ind w:firstLine="280"/>
        <w:rPr>
          <w:rFonts w:hint="eastAsia" w:ascii="宋体" w:hAnsi="宋体" w:cs="宋体"/>
          <w:sz w:val="28"/>
          <w:szCs w:val="28"/>
        </w:rPr>
      </w:pPr>
      <w:r>
        <w:rPr>
          <w:rFonts w:hint="eastAsia" w:ascii="宋体" w:hAnsi="宋体" w:cs="宋体"/>
          <w:sz w:val="28"/>
          <w:szCs w:val="28"/>
        </w:rPr>
        <w:t>（九）鼓励与国际高水平学者、校外实践专家共建研究生课程。</w:t>
      </w:r>
    </w:p>
    <w:p w14:paraId="057AD179">
      <w:pPr>
        <w:pStyle w:val="193"/>
        <w:spacing w:line="480" w:lineRule="exact"/>
        <w:ind w:firstLine="560"/>
        <w:rPr>
          <w:rFonts w:hint="eastAsia" w:ascii="宋体" w:hAnsi="宋体" w:cs="宋体"/>
          <w:sz w:val="28"/>
          <w:szCs w:val="28"/>
        </w:rPr>
      </w:pPr>
      <w:r>
        <w:rPr>
          <w:rFonts w:hint="eastAsia" w:ascii="宋体" w:hAnsi="宋体" w:cs="宋体"/>
          <w:sz w:val="28"/>
          <w:szCs w:val="28"/>
        </w:rPr>
        <w:t>根据《关于深化研究生教育改革的意见》（教研〔2013〕1号）和《教育部关于加强专业学位研究生案例教学和联合培养基地建设的意见》（教研〔2015〕3号）的文件精神，我校鼓励各培养单位积极联系校外合作单位，充分发挥校外合作导师、兼职导师和客座教授在我校人才培养过程中积极作用，与国际高水平学者、校外实践专家共建研究生课程。</w:t>
      </w:r>
    </w:p>
    <w:p w14:paraId="6D174896">
      <w:pPr>
        <w:pStyle w:val="193"/>
        <w:spacing w:line="480" w:lineRule="exact"/>
        <w:ind w:firstLine="280"/>
        <w:rPr>
          <w:rFonts w:hint="eastAsia" w:ascii="宋体" w:hAnsi="宋体" w:cs="宋体"/>
          <w:sz w:val="28"/>
          <w:szCs w:val="28"/>
        </w:rPr>
      </w:pPr>
      <w:r>
        <w:rPr>
          <w:rFonts w:hint="eastAsia" w:ascii="宋体" w:hAnsi="宋体" w:cs="宋体"/>
          <w:sz w:val="28"/>
          <w:szCs w:val="28"/>
        </w:rPr>
        <w:t>（十）鼓励有一定招生规模的专业设置专业选修课程。</w:t>
      </w:r>
    </w:p>
    <w:p w14:paraId="344D2F02">
      <w:pPr>
        <w:pStyle w:val="193"/>
        <w:spacing w:line="480" w:lineRule="exact"/>
        <w:ind w:firstLine="560"/>
        <w:rPr>
          <w:rFonts w:hint="eastAsia" w:ascii="宋体" w:hAnsi="宋体" w:cs="宋体"/>
          <w:sz w:val="28"/>
          <w:szCs w:val="28"/>
        </w:rPr>
      </w:pPr>
      <w:r>
        <w:rPr>
          <w:rFonts w:hint="eastAsia" w:ascii="宋体" w:hAnsi="宋体" w:cs="宋体"/>
          <w:sz w:val="28"/>
          <w:szCs w:val="28"/>
        </w:rPr>
        <w:t>鼓励招生人数超过15人的学位点设置可供学生自由选择的专业选修课程，但要控制任课教师的承担课程门数，每名任课教师承担的同一专业研究生课程门数，专业课（不含学科基础课）一般不超过1门、专业选修课不超过2门。</w:t>
      </w:r>
    </w:p>
    <w:p w14:paraId="35566EBC">
      <w:pPr>
        <w:pStyle w:val="193"/>
        <w:spacing w:line="480" w:lineRule="exact"/>
        <w:ind w:firstLine="281"/>
        <w:rPr>
          <w:rFonts w:hint="eastAsia" w:ascii="宋体" w:hAnsi="宋体" w:cs="宋体"/>
          <w:b/>
          <w:bCs/>
          <w:sz w:val="28"/>
          <w:szCs w:val="28"/>
        </w:rPr>
      </w:pPr>
      <w:r>
        <w:rPr>
          <w:rFonts w:hint="eastAsia" w:ascii="宋体" w:hAnsi="宋体" w:cs="宋体"/>
          <w:b/>
          <w:bCs/>
          <w:sz w:val="28"/>
          <w:szCs w:val="28"/>
        </w:rPr>
        <w:t>六、填报培养方案的注意事项</w:t>
      </w:r>
    </w:p>
    <w:p w14:paraId="477141C4">
      <w:pPr>
        <w:spacing w:line="480" w:lineRule="exac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b/>
          <w:bCs/>
          <w:sz w:val="28"/>
          <w:szCs w:val="28"/>
        </w:rPr>
        <w:t>（一）研究方向要求</w:t>
      </w:r>
    </w:p>
    <w:p w14:paraId="5844B6E7">
      <w:pPr>
        <w:spacing w:line="480" w:lineRule="exact"/>
        <w:ind w:firstLine="560"/>
        <w:rPr>
          <w:rFonts w:hint="eastAsia" w:ascii="宋体" w:hAnsi="宋体" w:cs="宋体"/>
          <w:sz w:val="28"/>
          <w:szCs w:val="28"/>
        </w:rPr>
      </w:pPr>
      <w:r>
        <w:rPr>
          <w:rFonts w:hint="eastAsia" w:ascii="宋体" w:hAnsi="宋体" w:cs="宋体"/>
          <w:sz w:val="28"/>
          <w:szCs w:val="28"/>
        </w:rPr>
        <w:t>各培养单位应根据学位授权点合格评估（或专项评估）的要求，培养方案中的研究方向应与评估申报的研究方向和招生方向相一致。</w:t>
      </w:r>
    </w:p>
    <w:p w14:paraId="727BDCB4">
      <w:pPr>
        <w:spacing w:line="480" w:lineRule="exact"/>
        <w:ind w:firstLine="281"/>
        <w:rPr>
          <w:rFonts w:hint="eastAsia" w:ascii="宋体" w:hAnsi="宋体" w:cs="宋体"/>
          <w:b/>
          <w:bCs/>
          <w:sz w:val="28"/>
          <w:szCs w:val="28"/>
        </w:rPr>
      </w:pPr>
      <w:r>
        <w:rPr>
          <w:rFonts w:hint="eastAsia" w:ascii="宋体" w:hAnsi="宋体" w:cs="宋体"/>
          <w:b/>
          <w:bCs/>
          <w:sz w:val="28"/>
          <w:szCs w:val="28"/>
        </w:rPr>
        <w:t>（二）培养目标与要求</w:t>
      </w:r>
    </w:p>
    <w:p w14:paraId="2264E65F">
      <w:pPr>
        <w:spacing w:line="480" w:lineRule="exact"/>
        <w:ind w:firstLine="560"/>
        <w:rPr>
          <w:rFonts w:hint="eastAsia" w:ascii="宋体" w:hAnsi="宋体" w:cs="宋体"/>
          <w:sz w:val="28"/>
          <w:szCs w:val="28"/>
        </w:rPr>
      </w:pPr>
      <w:r>
        <w:rPr>
          <w:rFonts w:hint="eastAsia" w:ascii="宋体" w:hAnsi="宋体" w:cs="宋体"/>
          <w:sz w:val="28"/>
          <w:szCs w:val="28"/>
        </w:rPr>
        <w:t>各培养单位应根据《一级学科博士、硕士学位基本要求》（附件3），培养方案中的“培养目标与要求”须包含本学科应掌握的基本知识、应具备的基本素质、应具备的基本学术能力等三方面内容。</w:t>
      </w:r>
    </w:p>
    <w:p w14:paraId="0C55DAD9">
      <w:pPr>
        <w:spacing w:line="480" w:lineRule="exact"/>
        <w:ind w:firstLine="281"/>
        <w:rPr>
          <w:rFonts w:hint="eastAsia" w:ascii="宋体" w:hAnsi="宋体" w:cs="宋体"/>
          <w:b/>
          <w:bCs/>
          <w:sz w:val="28"/>
          <w:szCs w:val="28"/>
        </w:rPr>
      </w:pPr>
      <w:r>
        <w:rPr>
          <w:rFonts w:hint="eastAsia" w:ascii="宋体" w:hAnsi="宋体" w:cs="宋体"/>
          <w:b/>
          <w:bCs/>
          <w:sz w:val="28"/>
          <w:szCs w:val="28"/>
        </w:rPr>
        <w:t>（三）课程体系要求</w:t>
      </w:r>
    </w:p>
    <w:p w14:paraId="5EA8E8B0">
      <w:pPr>
        <w:spacing w:line="480" w:lineRule="exact"/>
        <w:ind w:firstLine="560"/>
      </w:pPr>
      <w:r>
        <w:rPr>
          <w:rFonts w:hint="eastAsia" w:ascii="宋体" w:hAnsi="宋体" w:cs="宋体"/>
          <w:sz w:val="28"/>
          <w:szCs w:val="28"/>
        </w:rPr>
        <w:t>为方便任课教师安排教学任务，增加学生自主学习研究时间， 根据2019年5月21日校研究生培养指导委员会的决议，</w:t>
      </w:r>
      <w:r>
        <w:rPr>
          <w:rFonts w:hint="eastAsia" w:ascii="宋体" w:hAnsi="宋体" w:cs="宋体"/>
          <w:sz w:val="28"/>
          <w:szCs w:val="28"/>
          <w:u w:val="single"/>
        </w:rPr>
        <w:t>从2019年下半年开始，拟将研究生课程学分与学时的对应关系修订为：1学分=16课时。</w:t>
      </w:r>
    </w:p>
    <w:p w14:paraId="494F296F">
      <w:pPr>
        <w:spacing w:line="480" w:lineRule="exact"/>
        <w:ind w:firstLine="482"/>
        <w:rPr>
          <w:rFonts w:hint="eastAsia" w:ascii="宋体" w:hAnsi="宋体"/>
          <w:sz w:val="24"/>
        </w:rPr>
      </w:pPr>
      <w:r>
        <w:rPr>
          <w:rFonts w:hint="eastAsia" w:ascii="宋体" w:hAnsi="宋体"/>
          <w:b/>
          <w:bCs/>
          <w:sz w:val="24"/>
        </w:rPr>
        <w:t>1.学术型硕士研究生（不含留学生）：</w:t>
      </w:r>
      <w:r>
        <w:rPr>
          <w:rFonts w:hint="eastAsia" w:ascii="宋体" w:hAnsi="宋体"/>
          <w:sz w:val="24"/>
        </w:rPr>
        <w:t>总学分≥41学分，其中学位课学分≥31学分，非学位课学分≥5学分，必修环节5学分。</w:t>
      </w:r>
    </w:p>
    <w:p w14:paraId="3BA1CE0C">
      <w:pPr>
        <w:spacing w:line="480" w:lineRule="exact"/>
        <w:ind w:firstLine="482"/>
        <w:rPr>
          <w:rFonts w:hint="eastAsia" w:ascii="宋体" w:hAnsi="宋体"/>
          <w:sz w:val="24"/>
        </w:rPr>
      </w:pPr>
      <w:r>
        <w:rPr>
          <w:rFonts w:hint="eastAsia" w:ascii="宋体" w:hAnsi="宋体"/>
          <w:b/>
          <w:bCs/>
          <w:sz w:val="24"/>
        </w:rPr>
        <w:t>2.专业型硕士研究生（不含留学生）：</w:t>
      </w:r>
      <w:r>
        <w:rPr>
          <w:rFonts w:hint="eastAsia" w:ascii="宋体" w:hAnsi="宋体"/>
          <w:sz w:val="24"/>
        </w:rPr>
        <w:t xml:space="preserve">总学分≥35学分，其中学位课学分≥30学分，必修环节5学分。各全国专业学位研究生教育指导委员会另有规定的，按其规定执行。 </w:t>
      </w:r>
    </w:p>
    <w:tbl>
      <w:tblPr>
        <w:tblStyle w:val="29"/>
        <w:tblW w:w="9384"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2149"/>
        <w:gridCol w:w="1312"/>
        <w:gridCol w:w="1145"/>
        <w:gridCol w:w="1388"/>
        <w:gridCol w:w="1800"/>
      </w:tblGrid>
      <w:tr w14:paraId="1ACB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blCellSpacing w:w="0" w:type="dxa"/>
          <w:jc w:val="center"/>
        </w:trPr>
        <w:tc>
          <w:tcPr>
            <w:tcW w:w="1590" w:type="dxa"/>
            <w:shd w:val="clear" w:color="auto" w:fill="33CCCC"/>
            <w:noWrap w:val="0"/>
            <w:vAlign w:val="center"/>
          </w:tcPr>
          <w:p w14:paraId="5EDE91CA">
            <w:pPr>
              <w:spacing w:line="360" w:lineRule="auto"/>
              <w:jc w:val="center"/>
              <w:rPr>
                <w:rFonts w:hint="eastAsia" w:ascii="黑体" w:hAnsi="黑体" w:eastAsia="黑体"/>
                <w:szCs w:val="21"/>
              </w:rPr>
            </w:pPr>
            <w:r>
              <w:rPr>
                <w:rFonts w:hint="eastAsia" w:ascii="黑体" w:hAnsi="黑体" w:eastAsia="黑体"/>
                <w:szCs w:val="21"/>
              </w:rPr>
              <w:t>课程性质</w:t>
            </w:r>
          </w:p>
        </w:tc>
        <w:tc>
          <w:tcPr>
            <w:tcW w:w="2149" w:type="dxa"/>
            <w:shd w:val="clear" w:color="auto" w:fill="33CCCC"/>
            <w:noWrap w:val="0"/>
            <w:vAlign w:val="center"/>
          </w:tcPr>
          <w:p w14:paraId="42B10BCB">
            <w:pPr>
              <w:spacing w:line="360" w:lineRule="auto"/>
              <w:jc w:val="center"/>
              <w:rPr>
                <w:rFonts w:hint="eastAsia" w:ascii="黑体" w:hAnsi="黑体" w:eastAsia="黑体"/>
                <w:szCs w:val="21"/>
              </w:rPr>
            </w:pPr>
            <w:r>
              <w:rPr>
                <w:rFonts w:hint="eastAsia" w:ascii="黑体" w:hAnsi="黑体" w:eastAsia="黑体"/>
                <w:szCs w:val="21"/>
              </w:rPr>
              <w:t>课程名称</w:t>
            </w:r>
          </w:p>
        </w:tc>
        <w:tc>
          <w:tcPr>
            <w:tcW w:w="1312" w:type="dxa"/>
            <w:shd w:val="clear" w:color="auto" w:fill="33CCCC"/>
            <w:noWrap w:val="0"/>
            <w:vAlign w:val="center"/>
          </w:tcPr>
          <w:p w14:paraId="25E85C3C">
            <w:pPr>
              <w:spacing w:line="360" w:lineRule="auto"/>
              <w:jc w:val="center"/>
              <w:rPr>
                <w:rFonts w:hint="eastAsia" w:ascii="黑体" w:hAnsi="黑体" w:eastAsia="黑体"/>
                <w:szCs w:val="21"/>
              </w:rPr>
            </w:pPr>
            <w:r>
              <w:rPr>
                <w:rFonts w:hint="eastAsia" w:ascii="黑体" w:hAnsi="黑体" w:eastAsia="黑体"/>
                <w:szCs w:val="21"/>
              </w:rPr>
              <w:t>总学分</w:t>
            </w:r>
          </w:p>
        </w:tc>
        <w:tc>
          <w:tcPr>
            <w:tcW w:w="1145" w:type="dxa"/>
            <w:shd w:val="clear" w:color="auto" w:fill="33CCCC"/>
            <w:noWrap w:val="0"/>
            <w:vAlign w:val="center"/>
          </w:tcPr>
          <w:p w14:paraId="62195C0B">
            <w:pPr>
              <w:spacing w:line="360" w:lineRule="auto"/>
              <w:jc w:val="center"/>
              <w:rPr>
                <w:rFonts w:hint="eastAsia" w:ascii="黑体" w:hAnsi="黑体" w:eastAsia="黑体"/>
                <w:szCs w:val="21"/>
              </w:rPr>
            </w:pPr>
            <w:r>
              <w:rPr>
                <w:rFonts w:hint="eastAsia" w:ascii="黑体" w:hAnsi="黑体" w:eastAsia="黑体"/>
                <w:szCs w:val="21"/>
              </w:rPr>
              <w:t>总学时</w:t>
            </w:r>
          </w:p>
        </w:tc>
        <w:tc>
          <w:tcPr>
            <w:tcW w:w="1388" w:type="dxa"/>
            <w:shd w:val="clear" w:color="auto" w:fill="33CCCC"/>
            <w:noWrap w:val="0"/>
            <w:vAlign w:val="center"/>
          </w:tcPr>
          <w:p w14:paraId="17D41502">
            <w:pPr>
              <w:spacing w:line="360" w:lineRule="auto"/>
              <w:jc w:val="center"/>
              <w:rPr>
                <w:rFonts w:hint="eastAsia" w:ascii="黑体" w:hAnsi="黑体" w:eastAsia="黑体"/>
                <w:szCs w:val="21"/>
              </w:rPr>
            </w:pPr>
            <w:r>
              <w:rPr>
                <w:rFonts w:hint="eastAsia" w:ascii="黑体" w:hAnsi="黑体" w:eastAsia="黑体"/>
                <w:szCs w:val="21"/>
              </w:rPr>
              <w:t>开课学期</w:t>
            </w:r>
          </w:p>
        </w:tc>
        <w:tc>
          <w:tcPr>
            <w:tcW w:w="1800" w:type="dxa"/>
            <w:shd w:val="clear" w:color="auto" w:fill="33CCCC"/>
            <w:noWrap w:val="0"/>
            <w:vAlign w:val="center"/>
          </w:tcPr>
          <w:p w14:paraId="15A0BFAB">
            <w:pPr>
              <w:spacing w:line="360" w:lineRule="auto"/>
              <w:jc w:val="center"/>
              <w:rPr>
                <w:rFonts w:hint="eastAsia" w:ascii="黑体" w:hAnsi="黑体" w:eastAsia="黑体"/>
                <w:szCs w:val="21"/>
              </w:rPr>
            </w:pPr>
            <w:r>
              <w:rPr>
                <w:rFonts w:hint="eastAsia" w:ascii="黑体" w:hAnsi="黑体" w:eastAsia="黑体"/>
                <w:szCs w:val="21"/>
              </w:rPr>
              <w:t>备注</w:t>
            </w:r>
          </w:p>
        </w:tc>
      </w:tr>
      <w:tr w14:paraId="784E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blCellSpacing w:w="0" w:type="dxa"/>
          <w:jc w:val="center"/>
        </w:trPr>
        <w:tc>
          <w:tcPr>
            <w:tcW w:w="1590" w:type="dxa"/>
            <w:vMerge w:val="restart"/>
            <w:noWrap w:val="0"/>
            <w:vAlign w:val="center"/>
          </w:tcPr>
          <w:p w14:paraId="02627113">
            <w:pPr>
              <w:widowControl/>
              <w:spacing w:line="560" w:lineRule="exact"/>
              <w:jc w:val="center"/>
              <w:rPr>
                <w:rFonts w:hint="eastAsia" w:ascii="宋体" w:hAnsi="宋体"/>
                <w:bCs/>
                <w:szCs w:val="21"/>
              </w:rPr>
            </w:pPr>
            <w:r>
              <w:rPr>
                <w:rFonts w:hint="eastAsia" w:ascii="宋体" w:hAnsi="宋体"/>
                <w:bCs/>
                <w:szCs w:val="21"/>
              </w:rPr>
              <w:t>公共课（必修）</w:t>
            </w:r>
          </w:p>
        </w:tc>
        <w:tc>
          <w:tcPr>
            <w:tcW w:w="2149" w:type="dxa"/>
            <w:noWrap w:val="0"/>
            <w:vAlign w:val="center"/>
          </w:tcPr>
          <w:p w14:paraId="6F6D9400">
            <w:pPr>
              <w:widowControl/>
              <w:spacing w:line="560" w:lineRule="exact"/>
              <w:jc w:val="center"/>
              <w:rPr>
                <w:rFonts w:hint="eastAsia" w:ascii="宋体" w:hAnsi="宋体"/>
                <w:bCs/>
                <w:szCs w:val="21"/>
              </w:rPr>
            </w:pPr>
            <w:r>
              <w:rPr>
                <w:rFonts w:hint="eastAsia" w:ascii="宋体" w:hAnsi="宋体"/>
                <w:bCs/>
                <w:szCs w:val="21"/>
              </w:rPr>
              <w:t>第一外国语（学硕）</w:t>
            </w:r>
          </w:p>
        </w:tc>
        <w:tc>
          <w:tcPr>
            <w:tcW w:w="1312" w:type="dxa"/>
            <w:noWrap w:val="0"/>
            <w:vAlign w:val="center"/>
          </w:tcPr>
          <w:p w14:paraId="0BCF0BF4">
            <w:pPr>
              <w:widowControl/>
              <w:spacing w:line="560" w:lineRule="exact"/>
              <w:jc w:val="center"/>
              <w:rPr>
                <w:rFonts w:hint="eastAsia" w:ascii="宋体" w:hAnsi="宋体"/>
                <w:bCs/>
                <w:szCs w:val="21"/>
              </w:rPr>
            </w:pPr>
            <w:r>
              <w:rPr>
                <w:rFonts w:hint="eastAsia" w:ascii="宋体" w:hAnsi="宋体"/>
                <w:bCs/>
                <w:szCs w:val="21"/>
              </w:rPr>
              <w:t>4</w:t>
            </w:r>
          </w:p>
        </w:tc>
        <w:tc>
          <w:tcPr>
            <w:tcW w:w="1145" w:type="dxa"/>
            <w:noWrap w:val="0"/>
            <w:vAlign w:val="center"/>
          </w:tcPr>
          <w:p w14:paraId="63971A81">
            <w:pPr>
              <w:widowControl/>
              <w:spacing w:line="560" w:lineRule="exact"/>
              <w:jc w:val="center"/>
              <w:rPr>
                <w:rFonts w:hint="eastAsia" w:ascii="宋体" w:hAnsi="宋体"/>
                <w:bCs/>
                <w:szCs w:val="21"/>
              </w:rPr>
            </w:pPr>
            <w:r>
              <w:rPr>
                <w:rFonts w:hint="eastAsia" w:ascii="宋体" w:hAnsi="宋体"/>
                <w:bCs/>
                <w:szCs w:val="21"/>
              </w:rPr>
              <w:t>64</w:t>
            </w:r>
          </w:p>
        </w:tc>
        <w:tc>
          <w:tcPr>
            <w:tcW w:w="1388" w:type="dxa"/>
            <w:noWrap w:val="0"/>
            <w:vAlign w:val="center"/>
          </w:tcPr>
          <w:p w14:paraId="68E367FD">
            <w:pPr>
              <w:widowControl/>
              <w:spacing w:line="560" w:lineRule="exact"/>
              <w:jc w:val="center"/>
              <w:rPr>
                <w:rFonts w:hint="eastAsia" w:ascii="宋体" w:hAnsi="宋体"/>
                <w:bCs/>
                <w:szCs w:val="21"/>
              </w:rPr>
            </w:pPr>
            <w:r>
              <w:rPr>
                <w:rFonts w:hint="eastAsia" w:ascii="宋体" w:hAnsi="宋体"/>
                <w:bCs/>
                <w:szCs w:val="21"/>
              </w:rPr>
              <w:t>第1-2学期</w:t>
            </w:r>
          </w:p>
        </w:tc>
        <w:tc>
          <w:tcPr>
            <w:tcW w:w="1800" w:type="dxa"/>
            <w:vMerge w:val="restart"/>
            <w:noWrap w:val="0"/>
            <w:vAlign w:val="center"/>
          </w:tcPr>
          <w:p w14:paraId="150D842B">
            <w:pPr>
              <w:widowControl/>
              <w:spacing w:line="560" w:lineRule="exact"/>
              <w:rPr>
                <w:rFonts w:hint="eastAsia" w:ascii="宋体" w:hAnsi="宋体"/>
                <w:bCs/>
                <w:szCs w:val="21"/>
              </w:rPr>
            </w:pPr>
            <w:r>
              <w:rPr>
                <w:rFonts w:hint="eastAsia" w:ascii="宋体" w:hAnsi="宋体"/>
                <w:bCs/>
                <w:szCs w:val="21"/>
              </w:rPr>
              <w:t xml:space="preserve">       必修</w:t>
            </w:r>
          </w:p>
        </w:tc>
      </w:tr>
      <w:tr w14:paraId="0147E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blCellSpacing w:w="0" w:type="dxa"/>
          <w:jc w:val="center"/>
        </w:trPr>
        <w:tc>
          <w:tcPr>
            <w:tcW w:w="1590" w:type="dxa"/>
            <w:vMerge w:val="continue"/>
            <w:noWrap w:val="0"/>
            <w:vAlign w:val="center"/>
          </w:tcPr>
          <w:p w14:paraId="4B95B296">
            <w:pPr>
              <w:widowControl/>
              <w:spacing w:line="560" w:lineRule="exact"/>
              <w:jc w:val="center"/>
              <w:rPr>
                <w:rFonts w:ascii="宋体" w:hAnsi="宋体"/>
                <w:szCs w:val="21"/>
              </w:rPr>
            </w:pPr>
          </w:p>
        </w:tc>
        <w:tc>
          <w:tcPr>
            <w:tcW w:w="2149" w:type="dxa"/>
            <w:noWrap w:val="0"/>
            <w:vAlign w:val="center"/>
          </w:tcPr>
          <w:p w14:paraId="4AE71083">
            <w:pPr>
              <w:widowControl/>
              <w:spacing w:line="560" w:lineRule="exact"/>
              <w:jc w:val="center"/>
              <w:rPr>
                <w:rFonts w:ascii="宋体" w:hAnsi="宋体"/>
                <w:szCs w:val="21"/>
              </w:rPr>
            </w:pPr>
            <w:r>
              <w:rPr>
                <w:rFonts w:hint="eastAsia" w:ascii="宋体" w:hAnsi="宋体"/>
                <w:bCs/>
                <w:szCs w:val="21"/>
              </w:rPr>
              <w:t>第一外国语（专硕）</w:t>
            </w:r>
          </w:p>
        </w:tc>
        <w:tc>
          <w:tcPr>
            <w:tcW w:w="1312" w:type="dxa"/>
            <w:noWrap w:val="0"/>
            <w:vAlign w:val="center"/>
          </w:tcPr>
          <w:p w14:paraId="70744AC7">
            <w:pPr>
              <w:widowControl/>
              <w:spacing w:line="560" w:lineRule="exact"/>
              <w:jc w:val="center"/>
              <w:rPr>
                <w:rFonts w:hint="eastAsia" w:ascii="宋体" w:hAnsi="宋体"/>
                <w:bCs/>
                <w:szCs w:val="21"/>
              </w:rPr>
            </w:pPr>
            <w:r>
              <w:rPr>
                <w:rFonts w:hint="eastAsia" w:ascii="宋体" w:hAnsi="宋体"/>
                <w:bCs/>
                <w:szCs w:val="21"/>
              </w:rPr>
              <w:t>3</w:t>
            </w:r>
          </w:p>
        </w:tc>
        <w:tc>
          <w:tcPr>
            <w:tcW w:w="1145" w:type="dxa"/>
            <w:noWrap w:val="0"/>
            <w:vAlign w:val="center"/>
          </w:tcPr>
          <w:p w14:paraId="0B0F6DBF">
            <w:pPr>
              <w:widowControl/>
              <w:spacing w:line="560" w:lineRule="exact"/>
              <w:jc w:val="center"/>
              <w:rPr>
                <w:rFonts w:hint="eastAsia" w:ascii="宋体" w:hAnsi="宋体"/>
                <w:bCs/>
                <w:szCs w:val="21"/>
              </w:rPr>
            </w:pPr>
            <w:r>
              <w:rPr>
                <w:rFonts w:hint="eastAsia" w:ascii="宋体" w:hAnsi="宋体"/>
                <w:bCs/>
                <w:szCs w:val="21"/>
              </w:rPr>
              <w:t>48</w:t>
            </w:r>
          </w:p>
        </w:tc>
        <w:tc>
          <w:tcPr>
            <w:tcW w:w="1388" w:type="dxa"/>
            <w:noWrap w:val="0"/>
            <w:vAlign w:val="center"/>
          </w:tcPr>
          <w:p w14:paraId="73F816E8">
            <w:pPr>
              <w:widowControl/>
              <w:spacing w:line="560" w:lineRule="exact"/>
              <w:jc w:val="center"/>
              <w:rPr>
                <w:rFonts w:hint="eastAsia" w:ascii="宋体" w:hAnsi="宋体"/>
                <w:bCs/>
                <w:szCs w:val="21"/>
              </w:rPr>
            </w:pPr>
            <w:r>
              <w:rPr>
                <w:rFonts w:hint="eastAsia" w:ascii="宋体" w:hAnsi="宋体"/>
                <w:bCs/>
                <w:szCs w:val="21"/>
              </w:rPr>
              <w:t>第1学期</w:t>
            </w:r>
          </w:p>
          <w:p w14:paraId="192E841C">
            <w:pPr>
              <w:widowControl/>
              <w:spacing w:line="560" w:lineRule="exact"/>
              <w:jc w:val="center"/>
              <w:rPr>
                <w:rFonts w:hint="eastAsia" w:ascii="宋体" w:hAnsi="宋体"/>
                <w:bCs/>
                <w:szCs w:val="21"/>
              </w:rPr>
            </w:pPr>
            <w:r>
              <w:rPr>
                <w:rFonts w:hint="eastAsia" w:ascii="宋体" w:hAnsi="宋体"/>
                <w:bCs/>
                <w:szCs w:val="21"/>
              </w:rPr>
              <w:t>或第2学期</w:t>
            </w:r>
          </w:p>
        </w:tc>
        <w:tc>
          <w:tcPr>
            <w:tcW w:w="1800" w:type="dxa"/>
            <w:vMerge w:val="continue"/>
            <w:noWrap w:val="0"/>
            <w:vAlign w:val="center"/>
          </w:tcPr>
          <w:p w14:paraId="6356D580">
            <w:pPr>
              <w:widowControl/>
              <w:spacing w:line="560" w:lineRule="exact"/>
              <w:jc w:val="center"/>
              <w:rPr>
                <w:rFonts w:hint="eastAsia" w:ascii="宋体" w:hAnsi="宋体"/>
                <w:bCs/>
                <w:szCs w:val="21"/>
              </w:rPr>
            </w:pPr>
          </w:p>
        </w:tc>
      </w:tr>
      <w:tr w14:paraId="10F7F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blCellSpacing w:w="0" w:type="dxa"/>
          <w:jc w:val="center"/>
        </w:trPr>
        <w:tc>
          <w:tcPr>
            <w:tcW w:w="1590" w:type="dxa"/>
            <w:vMerge w:val="continue"/>
            <w:noWrap w:val="0"/>
            <w:vAlign w:val="center"/>
          </w:tcPr>
          <w:p w14:paraId="29DFBB5F">
            <w:pPr>
              <w:widowControl/>
              <w:spacing w:line="560" w:lineRule="exact"/>
              <w:ind w:firstLine="420"/>
              <w:jc w:val="center"/>
              <w:rPr>
                <w:rFonts w:hint="eastAsia" w:ascii="宋体" w:hAnsi="宋体"/>
                <w:bCs/>
                <w:szCs w:val="21"/>
              </w:rPr>
            </w:pPr>
          </w:p>
        </w:tc>
        <w:tc>
          <w:tcPr>
            <w:tcW w:w="2149" w:type="dxa"/>
            <w:noWrap w:val="0"/>
            <w:vAlign w:val="center"/>
          </w:tcPr>
          <w:p w14:paraId="16C0AD40">
            <w:pPr>
              <w:widowControl/>
              <w:spacing w:line="560" w:lineRule="exact"/>
              <w:jc w:val="center"/>
              <w:rPr>
                <w:rFonts w:hint="eastAsia" w:ascii="宋体" w:hAnsi="宋体"/>
                <w:bCs/>
                <w:szCs w:val="21"/>
              </w:rPr>
            </w:pPr>
            <w:r>
              <w:rPr>
                <w:rFonts w:hint="eastAsia" w:ascii="宋体" w:hAnsi="宋体"/>
                <w:bCs/>
                <w:szCs w:val="21"/>
              </w:rPr>
              <w:t>中国特色社会主义理论与实践研究</w:t>
            </w:r>
          </w:p>
        </w:tc>
        <w:tc>
          <w:tcPr>
            <w:tcW w:w="1312" w:type="dxa"/>
            <w:noWrap w:val="0"/>
            <w:vAlign w:val="center"/>
          </w:tcPr>
          <w:p w14:paraId="6DB6806C">
            <w:pPr>
              <w:widowControl/>
              <w:spacing w:line="560" w:lineRule="exact"/>
              <w:jc w:val="center"/>
              <w:rPr>
                <w:rFonts w:hint="eastAsia" w:ascii="宋体" w:hAnsi="宋体"/>
                <w:bCs/>
                <w:szCs w:val="21"/>
              </w:rPr>
            </w:pPr>
            <w:r>
              <w:rPr>
                <w:rFonts w:hint="eastAsia" w:ascii="宋体" w:hAnsi="宋体"/>
                <w:bCs/>
                <w:szCs w:val="21"/>
              </w:rPr>
              <w:t>2</w:t>
            </w:r>
          </w:p>
        </w:tc>
        <w:tc>
          <w:tcPr>
            <w:tcW w:w="1145" w:type="dxa"/>
            <w:noWrap w:val="0"/>
            <w:vAlign w:val="center"/>
          </w:tcPr>
          <w:p w14:paraId="0CB5972A">
            <w:pPr>
              <w:widowControl/>
              <w:spacing w:line="560" w:lineRule="exact"/>
              <w:jc w:val="center"/>
              <w:rPr>
                <w:rFonts w:hint="eastAsia" w:ascii="宋体" w:hAnsi="宋体"/>
                <w:bCs/>
                <w:szCs w:val="21"/>
              </w:rPr>
            </w:pPr>
            <w:r>
              <w:rPr>
                <w:rFonts w:hint="eastAsia" w:ascii="宋体" w:hAnsi="宋体"/>
                <w:bCs/>
                <w:szCs w:val="21"/>
              </w:rPr>
              <w:t>32</w:t>
            </w:r>
          </w:p>
        </w:tc>
        <w:tc>
          <w:tcPr>
            <w:tcW w:w="1388" w:type="dxa"/>
            <w:noWrap w:val="0"/>
            <w:vAlign w:val="center"/>
          </w:tcPr>
          <w:p w14:paraId="71E39893">
            <w:pPr>
              <w:widowControl/>
              <w:spacing w:line="560" w:lineRule="exact"/>
              <w:jc w:val="center"/>
              <w:rPr>
                <w:rFonts w:hint="eastAsia" w:ascii="宋体" w:hAnsi="宋体"/>
                <w:bCs/>
                <w:szCs w:val="21"/>
              </w:rPr>
            </w:pPr>
            <w:r>
              <w:rPr>
                <w:rFonts w:hint="eastAsia" w:ascii="宋体" w:hAnsi="宋体"/>
                <w:bCs/>
                <w:szCs w:val="21"/>
              </w:rPr>
              <w:t>第1学期</w:t>
            </w:r>
          </w:p>
        </w:tc>
        <w:tc>
          <w:tcPr>
            <w:tcW w:w="1800" w:type="dxa"/>
            <w:vMerge w:val="continue"/>
            <w:noWrap w:val="0"/>
            <w:vAlign w:val="center"/>
          </w:tcPr>
          <w:p w14:paraId="4A60533A">
            <w:pPr>
              <w:widowControl/>
              <w:spacing w:line="560" w:lineRule="exact"/>
              <w:ind w:firstLine="420"/>
              <w:jc w:val="center"/>
              <w:rPr>
                <w:rFonts w:hint="eastAsia" w:ascii="宋体" w:hAnsi="宋体"/>
                <w:bCs/>
                <w:szCs w:val="21"/>
              </w:rPr>
            </w:pPr>
          </w:p>
        </w:tc>
      </w:tr>
      <w:tr w14:paraId="17B2A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blCellSpacing w:w="0" w:type="dxa"/>
          <w:jc w:val="center"/>
        </w:trPr>
        <w:tc>
          <w:tcPr>
            <w:tcW w:w="1590" w:type="dxa"/>
            <w:vMerge w:val="continue"/>
            <w:noWrap w:val="0"/>
            <w:vAlign w:val="center"/>
          </w:tcPr>
          <w:p w14:paraId="10B45089">
            <w:pPr>
              <w:widowControl/>
              <w:spacing w:line="560" w:lineRule="exact"/>
              <w:ind w:firstLine="420"/>
              <w:jc w:val="center"/>
              <w:rPr>
                <w:rFonts w:hint="eastAsia" w:ascii="宋体" w:hAnsi="宋体"/>
                <w:bCs/>
                <w:szCs w:val="21"/>
              </w:rPr>
            </w:pPr>
          </w:p>
        </w:tc>
        <w:tc>
          <w:tcPr>
            <w:tcW w:w="2149" w:type="dxa"/>
            <w:noWrap w:val="0"/>
            <w:vAlign w:val="center"/>
          </w:tcPr>
          <w:p w14:paraId="088526F3">
            <w:pPr>
              <w:widowControl/>
              <w:spacing w:line="560" w:lineRule="exact"/>
              <w:jc w:val="center"/>
              <w:rPr>
                <w:rFonts w:hint="eastAsia" w:ascii="宋体" w:hAnsi="宋体"/>
                <w:bCs/>
                <w:szCs w:val="21"/>
              </w:rPr>
            </w:pPr>
            <w:r>
              <w:rPr>
                <w:rFonts w:hint="eastAsia" w:ascii="宋体" w:hAnsi="宋体"/>
                <w:bCs/>
                <w:szCs w:val="21"/>
              </w:rPr>
              <w:t>马克思主义与社会科学方法论</w:t>
            </w:r>
          </w:p>
        </w:tc>
        <w:tc>
          <w:tcPr>
            <w:tcW w:w="1312" w:type="dxa"/>
            <w:noWrap w:val="0"/>
            <w:vAlign w:val="center"/>
          </w:tcPr>
          <w:p w14:paraId="67CD5C08">
            <w:pPr>
              <w:widowControl/>
              <w:spacing w:line="560" w:lineRule="exact"/>
              <w:jc w:val="center"/>
              <w:rPr>
                <w:rFonts w:hint="eastAsia" w:ascii="宋体" w:hAnsi="宋体"/>
                <w:bCs/>
                <w:szCs w:val="21"/>
              </w:rPr>
            </w:pPr>
            <w:r>
              <w:rPr>
                <w:rFonts w:hint="eastAsia" w:ascii="宋体" w:hAnsi="宋体"/>
                <w:bCs/>
                <w:szCs w:val="21"/>
              </w:rPr>
              <w:t>1</w:t>
            </w:r>
          </w:p>
        </w:tc>
        <w:tc>
          <w:tcPr>
            <w:tcW w:w="1145" w:type="dxa"/>
            <w:noWrap w:val="0"/>
            <w:vAlign w:val="center"/>
          </w:tcPr>
          <w:p w14:paraId="1DE16A8E">
            <w:pPr>
              <w:widowControl/>
              <w:spacing w:line="560" w:lineRule="exact"/>
              <w:jc w:val="center"/>
              <w:rPr>
                <w:rFonts w:hint="eastAsia" w:ascii="宋体" w:hAnsi="宋体"/>
                <w:bCs/>
                <w:szCs w:val="21"/>
              </w:rPr>
            </w:pPr>
            <w:r>
              <w:rPr>
                <w:rFonts w:hint="eastAsia" w:ascii="宋体" w:hAnsi="宋体"/>
                <w:bCs/>
                <w:szCs w:val="21"/>
              </w:rPr>
              <w:t>16</w:t>
            </w:r>
          </w:p>
        </w:tc>
        <w:tc>
          <w:tcPr>
            <w:tcW w:w="1388" w:type="dxa"/>
            <w:noWrap w:val="0"/>
            <w:vAlign w:val="center"/>
          </w:tcPr>
          <w:p w14:paraId="600BF220">
            <w:pPr>
              <w:widowControl/>
              <w:spacing w:line="560" w:lineRule="exact"/>
              <w:jc w:val="center"/>
              <w:rPr>
                <w:rFonts w:hint="eastAsia" w:ascii="宋体" w:hAnsi="宋体"/>
                <w:bCs/>
                <w:szCs w:val="21"/>
              </w:rPr>
            </w:pPr>
            <w:r>
              <w:rPr>
                <w:rFonts w:hint="eastAsia" w:ascii="宋体" w:hAnsi="宋体"/>
                <w:bCs/>
                <w:szCs w:val="21"/>
              </w:rPr>
              <w:t>第2学期</w:t>
            </w:r>
          </w:p>
        </w:tc>
        <w:tc>
          <w:tcPr>
            <w:tcW w:w="1800" w:type="dxa"/>
            <w:noWrap w:val="0"/>
            <w:vAlign w:val="center"/>
          </w:tcPr>
          <w:p w14:paraId="1C36AFC2">
            <w:pPr>
              <w:widowControl/>
              <w:spacing w:line="560" w:lineRule="exact"/>
              <w:jc w:val="center"/>
              <w:rPr>
                <w:rFonts w:hint="eastAsia" w:ascii="宋体" w:hAnsi="宋体"/>
                <w:bCs/>
                <w:szCs w:val="21"/>
              </w:rPr>
            </w:pPr>
            <w:r>
              <w:rPr>
                <w:rFonts w:hint="eastAsia" w:ascii="宋体" w:hAnsi="宋体"/>
                <w:bCs/>
                <w:szCs w:val="21"/>
              </w:rPr>
              <w:t>专业代码非</w:t>
            </w:r>
            <w:r>
              <w:rPr>
                <w:rFonts w:ascii="宋体" w:hAnsi="宋体" w:cs="仿宋_GB2312"/>
                <w:color w:val="000000"/>
                <w:szCs w:val="21"/>
                <w:lang w:bidi="ar"/>
              </w:rPr>
              <w:t>0714</w:t>
            </w:r>
            <w:r>
              <w:rPr>
                <w:rFonts w:hint="eastAsia" w:ascii="宋体" w:hAnsi="宋体" w:cs="仿宋_GB2312"/>
                <w:color w:val="000000"/>
                <w:szCs w:val="21"/>
                <w:lang w:bidi="ar"/>
              </w:rPr>
              <w:t>、</w:t>
            </w:r>
            <w:r>
              <w:rPr>
                <w:rFonts w:ascii="宋体" w:hAnsi="宋体" w:cs="仿宋_GB2312"/>
                <w:color w:val="000000"/>
                <w:szCs w:val="21"/>
                <w:lang w:bidi="ar"/>
              </w:rPr>
              <w:t>0812</w:t>
            </w:r>
            <w:r>
              <w:rPr>
                <w:rFonts w:hint="eastAsia" w:ascii="宋体" w:hAnsi="宋体" w:cs="仿宋_GB2312"/>
                <w:color w:val="000000"/>
                <w:szCs w:val="21"/>
                <w:lang w:bidi="ar"/>
              </w:rPr>
              <w:t>、</w:t>
            </w:r>
            <w:r>
              <w:rPr>
                <w:rFonts w:ascii="宋体" w:hAnsi="宋体" w:cs="仿宋_GB2312"/>
                <w:color w:val="000000"/>
                <w:szCs w:val="21"/>
                <w:lang w:bidi="ar"/>
              </w:rPr>
              <w:t>0852</w:t>
            </w:r>
            <w:r>
              <w:rPr>
                <w:rFonts w:hint="eastAsia" w:ascii="宋体" w:hAnsi="宋体" w:cs="仿宋_GB2312"/>
                <w:color w:val="000000"/>
                <w:szCs w:val="21"/>
                <w:lang w:bidi="ar"/>
              </w:rPr>
              <w:t>开头的文科类专业选修</w:t>
            </w:r>
          </w:p>
        </w:tc>
      </w:tr>
      <w:tr w14:paraId="25F8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blCellSpacing w:w="0" w:type="dxa"/>
          <w:jc w:val="center"/>
        </w:trPr>
        <w:tc>
          <w:tcPr>
            <w:tcW w:w="1590" w:type="dxa"/>
            <w:vMerge w:val="continue"/>
            <w:noWrap w:val="0"/>
            <w:vAlign w:val="center"/>
          </w:tcPr>
          <w:p w14:paraId="3E04F0BD">
            <w:pPr>
              <w:widowControl/>
              <w:spacing w:line="560" w:lineRule="exact"/>
              <w:ind w:firstLine="420"/>
              <w:jc w:val="center"/>
              <w:rPr>
                <w:rFonts w:hint="eastAsia" w:ascii="宋体" w:hAnsi="宋体"/>
                <w:bCs/>
                <w:szCs w:val="21"/>
              </w:rPr>
            </w:pPr>
          </w:p>
        </w:tc>
        <w:tc>
          <w:tcPr>
            <w:tcW w:w="2149" w:type="dxa"/>
            <w:noWrap w:val="0"/>
            <w:vAlign w:val="center"/>
          </w:tcPr>
          <w:p w14:paraId="10FD63B3">
            <w:pPr>
              <w:widowControl/>
              <w:spacing w:line="560" w:lineRule="exact"/>
              <w:jc w:val="center"/>
              <w:rPr>
                <w:rFonts w:hint="eastAsia" w:ascii="宋体" w:hAnsi="宋体"/>
                <w:bCs/>
                <w:szCs w:val="21"/>
              </w:rPr>
            </w:pPr>
            <w:r>
              <w:rPr>
                <w:rFonts w:hint="eastAsia" w:ascii="宋体" w:hAnsi="宋体"/>
                <w:bCs/>
                <w:szCs w:val="21"/>
              </w:rPr>
              <w:t>自然辩证法</w:t>
            </w:r>
          </w:p>
        </w:tc>
        <w:tc>
          <w:tcPr>
            <w:tcW w:w="1312" w:type="dxa"/>
            <w:noWrap w:val="0"/>
            <w:vAlign w:val="center"/>
          </w:tcPr>
          <w:p w14:paraId="7BCB4EBF">
            <w:pPr>
              <w:widowControl/>
              <w:spacing w:line="560" w:lineRule="exact"/>
              <w:jc w:val="center"/>
              <w:rPr>
                <w:rFonts w:hint="eastAsia" w:ascii="宋体" w:hAnsi="宋体"/>
                <w:bCs/>
                <w:szCs w:val="21"/>
              </w:rPr>
            </w:pPr>
            <w:r>
              <w:rPr>
                <w:rFonts w:hint="eastAsia" w:ascii="宋体" w:hAnsi="宋体"/>
                <w:bCs/>
                <w:szCs w:val="21"/>
              </w:rPr>
              <w:t>1</w:t>
            </w:r>
          </w:p>
        </w:tc>
        <w:tc>
          <w:tcPr>
            <w:tcW w:w="1145" w:type="dxa"/>
            <w:noWrap w:val="0"/>
            <w:vAlign w:val="center"/>
          </w:tcPr>
          <w:p w14:paraId="7283FC8F">
            <w:pPr>
              <w:widowControl/>
              <w:spacing w:line="560" w:lineRule="exact"/>
              <w:jc w:val="center"/>
              <w:rPr>
                <w:rFonts w:hint="eastAsia" w:ascii="宋体" w:hAnsi="宋体"/>
                <w:bCs/>
                <w:szCs w:val="21"/>
              </w:rPr>
            </w:pPr>
            <w:r>
              <w:rPr>
                <w:rFonts w:hint="eastAsia" w:ascii="宋体" w:hAnsi="宋体"/>
                <w:bCs/>
                <w:szCs w:val="21"/>
              </w:rPr>
              <w:t>16</w:t>
            </w:r>
          </w:p>
        </w:tc>
        <w:tc>
          <w:tcPr>
            <w:tcW w:w="1388" w:type="dxa"/>
            <w:noWrap w:val="0"/>
            <w:vAlign w:val="center"/>
          </w:tcPr>
          <w:p w14:paraId="62FC453C">
            <w:pPr>
              <w:widowControl/>
              <w:spacing w:line="560" w:lineRule="exact"/>
              <w:jc w:val="center"/>
              <w:rPr>
                <w:rFonts w:hint="eastAsia" w:ascii="宋体" w:hAnsi="宋体"/>
                <w:bCs/>
                <w:szCs w:val="21"/>
              </w:rPr>
            </w:pPr>
            <w:r>
              <w:rPr>
                <w:rFonts w:hint="eastAsia" w:ascii="宋体" w:hAnsi="宋体"/>
                <w:bCs/>
                <w:szCs w:val="21"/>
              </w:rPr>
              <w:t>第2学期</w:t>
            </w:r>
          </w:p>
        </w:tc>
        <w:tc>
          <w:tcPr>
            <w:tcW w:w="1800" w:type="dxa"/>
            <w:noWrap w:val="0"/>
            <w:vAlign w:val="center"/>
          </w:tcPr>
          <w:p w14:paraId="2A1A86CD">
            <w:pPr>
              <w:widowControl/>
              <w:spacing w:line="560" w:lineRule="exact"/>
              <w:jc w:val="center"/>
              <w:rPr>
                <w:rFonts w:hint="eastAsia" w:ascii="宋体" w:hAnsi="宋体"/>
                <w:bCs/>
                <w:szCs w:val="21"/>
              </w:rPr>
            </w:pPr>
            <w:r>
              <w:rPr>
                <w:rFonts w:hint="eastAsia" w:ascii="宋体" w:hAnsi="宋体"/>
                <w:bCs/>
                <w:szCs w:val="21"/>
              </w:rPr>
              <w:t>专业代码为</w:t>
            </w:r>
            <w:r>
              <w:rPr>
                <w:rFonts w:ascii="宋体" w:hAnsi="宋体" w:cs="仿宋_GB2312"/>
                <w:color w:val="000000"/>
                <w:szCs w:val="21"/>
                <w:lang w:bidi="ar"/>
              </w:rPr>
              <w:t>0714</w:t>
            </w:r>
            <w:r>
              <w:rPr>
                <w:rFonts w:hint="eastAsia" w:ascii="宋体" w:hAnsi="宋体" w:cs="仿宋_GB2312"/>
                <w:color w:val="000000"/>
                <w:szCs w:val="21"/>
                <w:lang w:bidi="ar"/>
              </w:rPr>
              <w:t>、</w:t>
            </w:r>
            <w:r>
              <w:rPr>
                <w:rFonts w:ascii="宋体" w:hAnsi="宋体" w:cs="仿宋_GB2312"/>
                <w:color w:val="000000"/>
                <w:szCs w:val="21"/>
                <w:lang w:bidi="ar"/>
              </w:rPr>
              <w:t>0812</w:t>
            </w:r>
            <w:r>
              <w:rPr>
                <w:rFonts w:hint="eastAsia" w:ascii="宋体" w:hAnsi="宋体" w:cs="仿宋_GB2312"/>
                <w:color w:val="000000"/>
                <w:szCs w:val="21"/>
                <w:lang w:bidi="ar"/>
              </w:rPr>
              <w:t>、</w:t>
            </w:r>
            <w:r>
              <w:rPr>
                <w:rFonts w:ascii="宋体" w:hAnsi="宋体" w:cs="仿宋_GB2312"/>
                <w:color w:val="000000"/>
                <w:szCs w:val="21"/>
                <w:lang w:bidi="ar"/>
              </w:rPr>
              <w:t>0852</w:t>
            </w:r>
            <w:r>
              <w:rPr>
                <w:rFonts w:hint="eastAsia" w:ascii="宋体" w:hAnsi="宋体" w:cs="仿宋_GB2312"/>
                <w:color w:val="000000"/>
                <w:szCs w:val="21"/>
                <w:lang w:bidi="ar"/>
              </w:rPr>
              <w:t>开头的理科类专业选修</w:t>
            </w:r>
          </w:p>
        </w:tc>
      </w:tr>
      <w:tr w14:paraId="4462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blCellSpacing w:w="0" w:type="dxa"/>
          <w:jc w:val="center"/>
        </w:trPr>
        <w:tc>
          <w:tcPr>
            <w:tcW w:w="1590" w:type="dxa"/>
            <w:noWrap w:val="0"/>
            <w:vAlign w:val="center"/>
          </w:tcPr>
          <w:p w14:paraId="3F4D876B">
            <w:pPr>
              <w:widowControl/>
              <w:spacing w:line="560" w:lineRule="exact"/>
              <w:rPr>
                <w:rFonts w:hint="eastAsia" w:ascii="宋体" w:hAnsi="宋体"/>
                <w:bCs/>
                <w:szCs w:val="21"/>
              </w:rPr>
            </w:pPr>
            <w:r>
              <w:rPr>
                <w:rFonts w:hint="eastAsia" w:ascii="宋体" w:hAnsi="宋体"/>
                <w:bCs/>
                <w:szCs w:val="21"/>
              </w:rPr>
              <w:t>公共课（选修）</w:t>
            </w:r>
          </w:p>
        </w:tc>
        <w:tc>
          <w:tcPr>
            <w:tcW w:w="2149" w:type="dxa"/>
            <w:noWrap w:val="0"/>
            <w:vAlign w:val="center"/>
          </w:tcPr>
          <w:p w14:paraId="25CDA714">
            <w:pPr>
              <w:widowControl/>
              <w:spacing w:line="560" w:lineRule="exact"/>
              <w:jc w:val="center"/>
              <w:rPr>
                <w:rFonts w:hint="eastAsia" w:ascii="宋体" w:hAnsi="宋体"/>
                <w:bCs/>
                <w:szCs w:val="21"/>
              </w:rPr>
            </w:pPr>
          </w:p>
        </w:tc>
        <w:tc>
          <w:tcPr>
            <w:tcW w:w="1312" w:type="dxa"/>
            <w:noWrap w:val="0"/>
            <w:vAlign w:val="center"/>
          </w:tcPr>
          <w:p w14:paraId="0A0B3AE3">
            <w:pPr>
              <w:widowControl/>
              <w:spacing w:line="560" w:lineRule="exact"/>
              <w:jc w:val="center"/>
              <w:rPr>
                <w:rFonts w:hint="eastAsia" w:ascii="宋体" w:hAnsi="宋体"/>
                <w:bCs/>
                <w:szCs w:val="21"/>
              </w:rPr>
            </w:pPr>
            <w:r>
              <w:rPr>
                <w:rFonts w:hint="eastAsia" w:ascii="宋体" w:hAnsi="宋体"/>
                <w:bCs/>
                <w:szCs w:val="21"/>
              </w:rPr>
              <w:t>≥5</w:t>
            </w:r>
          </w:p>
        </w:tc>
        <w:tc>
          <w:tcPr>
            <w:tcW w:w="1145" w:type="dxa"/>
            <w:noWrap w:val="0"/>
            <w:vAlign w:val="center"/>
          </w:tcPr>
          <w:p w14:paraId="271AA829">
            <w:pPr>
              <w:widowControl/>
              <w:spacing w:line="560" w:lineRule="exact"/>
              <w:jc w:val="center"/>
              <w:rPr>
                <w:rFonts w:hint="eastAsia" w:ascii="宋体" w:hAnsi="宋体"/>
                <w:bCs/>
                <w:szCs w:val="21"/>
              </w:rPr>
            </w:pPr>
            <w:r>
              <w:rPr>
                <w:rFonts w:hint="eastAsia" w:ascii="宋体" w:hAnsi="宋体"/>
                <w:bCs/>
                <w:szCs w:val="21"/>
              </w:rPr>
              <w:t>≥80</w:t>
            </w:r>
          </w:p>
        </w:tc>
        <w:tc>
          <w:tcPr>
            <w:tcW w:w="1388" w:type="dxa"/>
            <w:noWrap w:val="0"/>
            <w:vAlign w:val="center"/>
          </w:tcPr>
          <w:p w14:paraId="63A50824">
            <w:pPr>
              <w:widowControl/>
              <w:spacing w:line="560" w:lineRule="exact"/>
              <w:jc w:val="center"/>
              <w:rPr>
                <w:rFonts w:hint="eastAsia" w:ascii="宋体" w:hAnsi="宋体"/>
                <w:bCs/>
                <w:szCs w:val="21"/>
              </w:rPr>
            </w:pPr>
            <w:r>
              <w:rPr>
                <w:rFonts w:hint="eastAsia" w:ascii="宋体" w:hAnsi="宋体"/>
                <w:bCs/>
                <w:szCs w:val="21"/>
              </w:rPr>
              <w:t>根据当学期开设课程选修</w:t>
            </w:r>
          </w:p>
        </w:tc>
        <w:tc>
          <w:tcPr>
            <w:tcW w:w="1800" w:type="dxa"/>
            <w:noWrap w:val="0"/>
            <w:vAlign w:val="center"/>
          </w:tcPr>
          <w:p w14:paraId="690E3158">
            <w:pPr>
              <w:widowControl/>
              <w:spacing w:line="560" w:lineRule="exact"/>
              <w:jc w:val="center"/>
              <w:rPr>
                <w:rFonts w:hint="eastAsia" w:ascii="宋体" w:hAnsi="宋体"/>
                <w:szCs w:val="21"/>
                <w:u w:val="single"/>
              </w:rPr>
            </w:pPr>
            <w:r>
              <w:rPr>
                <w:rFonts w:hint="eastAsia" w:ascii="宋体" w:hAnsi="宋体"/>
                <w:szCs w:val="21"/>
                <w:u w:val="single"/>
              </w:rPr>
              <w:t>学术型研究生在导师的指导下选修，专业型硕士不做要求</w:t>
            </w:r>
          </w:p>
        </w:tc>
      </w:tr>
      <w:tr w14:paraId="5FAD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blCellSpacing w:w="0" w:type="dxa"/>
          <w:jc w:val="center"/>
        </w:trPr>
        <w:tc>
          <w:tcPr>
            <w:tcW w:w="1590" w:type="dxa"/>
            <w:noWrap w:val="0"/>
            <w:vAlign w:val="center"/>
          </w:tcPr>
          <w:p w14:paraId="1514EE77">
            <w:pPr>
              <w:widowControl/>
              <w:spacing w:line="560" w:lineRule="exact"/>
              <w:rPr>
                <w:rFonts w:hint="eastAsia" w:ascii="宋体" w:hAnsi="宋体"/>
                <w:bCs/>
                <w:szCs w:val="21"/>
              </w:rPr>
            </w:pPr>
            <w:r>
              <w:rPr>
                <w:rFonts w:hint="eastAsia" w:ascii="宋体" w:hAnsi="宋体"/>
                <w:bCs/>
                <w:szCs w:val="21"/>
              </w:rPr>
              <w:t>跨学科课程</w:t>
            </w:r>
          </w:p>
        </w:tc>
        <w:tc>
          <w:tcPr>
            <w:tcW w:w="2149" w:type="dxa"/>
            <w:noWrap w:val="0"/>
            <w:vAlign w:val="center"/>
          </w:tcPr>
          <w:p w14:paraId="079DD819">
            <w:pPr>
              <w:widowControl/>
              <w:spacing w:line="560" w:lineRule="exact"/>
              <w:jc w:val="center"/>
              <w:rPr>
                <w:rFonts w:hint="eastAsia" w:ascii="宋体" w:hAnsi="宋体"/>
                <w:bCs/>
                <w:szCs w:val="21"/>
              </w:rPr>
            </w:pPr>
          </w:p>
        </w:tc>
        <w:tc>
          <w:tcPr>
            <w:tcW w:w="1312" w:type="dxa"/>
            <w:noWrap w:val="0"/>
            <w:vAlign w:val="center"/>
          </w:tcPr>
          <w:p w14:paraId="3A9880D8">
            <w:pPr>
              <w:widowControl/>
              <w:spacing w:line="560" w:lineRule="exact"/>
              <w:jc w:val="center"/>
              <w:rPr>
                <w:rFonts w:hint="eastAsia" w:ascii="宋体" w:hAnsi="宋体"/>
                <w:bCs/>
                <w:szCs w:val="21"/>
              </w:rPr>
            </w:pPr>
            <w:r>
              <w:rPr>
                <w:rFonts w:hint="eastAsia" w:ascii="宋体" w:hAnsi="宋体"/>
                <w:bCs/>
                <w:szCs w:val="21"/>
              </w:rPr>
              <w:t>≥2</w:t>
            </w:r>
          </w:p>
        </w:tc>
        <w:tc>
          <w:tcPr>
            <w:tcW w:w="1145" w:type="dxa"/>
            <w:noWrap w:val="0"/>
            <w:vAlign w:val="center"/>
          </w:tcPr>
          <w:p w14:paraId="4301E6B3">
            <w:pPr>
              <w:widowControl/>
              <w:spacing w:line="560" w:lineRule="exact"/>
              <w:jc w:val="center"/>
              <w:rPr>
                <w:rFonts w:hint="eastAsia" w:ascii="宋体" w:hAnsi="宋体"/>
                <w:bCs/>
                <w:szCs w:val="21"/>
              </w:rPr>
            </w:pPr>
            <w:r>
              <w:rPr>
                <w:rFonts w:hint="eastAsia" w:ascii="宋体" w:hAnsi="宋体"/>
                <w:bCs/>
                <w:szCs w:val="21"/>
              </w:rPr>
              <w:t>≥32</w:t>
            </w:r>
          </w:p>
        </w:tc>
        <w:tc>
          <w:tcPr>
            <w:tcW w:w="1388" w:type="dxa"/>
            <w:noWrap w:val="0"/>
            <w:vAlign w:val="center"/>
          </w:tcPr>
          <w:p w14:paraId="041EC72F">
            <w:pPr>
              <w:widowControl/>
              <w:spacing w:line="560" w:lineRule="exact"/>
              <w:jc w:val="center"/>
              <w:rPr>
                <w:rFonts w:hint="eastAsia" w:ascii="宋体" w:hAnsi="宋体"/>
                <w:bCs/>
                <w:szCs w:val="21"/>
              </w:rPr>
            </w:pPr>
          </w:p>
        </w:tc>
        <w:tc>
          <w:tcPr>
            <w:tcW w:w="1800" w:type="dxa"/>
            <w:noWrap w:val="0"/>
            <w:vAlign w:val="center"/>
          </w:tcPr>
          <w:p w14:paraId="72B383EB">
            <w:pPr>
              <w:widowControl/>
              <w:spacing w:line="560" w:lineRule="exact"/>
              <w:jc w:val="center"/>
              <w:rPr>
                <w:rFonts w:hint="eastAsia" w:ascii="宋体" w:hAnsi="宋体"/>
                <w:szCs w:val="21"/>
                <w:u w:val="single"/>
              </w:rPr>
            </w:pPr>
            <w:r>
              <w:rPr>
                <w:rFonts w:hint="eastAsia" w:ascii="宋体" w:hAnsi="宋体"/>
                <w:szCs w:val="21"/>
                <w:u w:val="single"/>
              </w:rPr>
              <w:t>学术型研究生在导师的指导下选修，专业型硕士不做要求</w:t>
            </w:r>
          </w:p>
        </w:tc>
      </w:tr>
      <w:tr w14:paraId="0E317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blCellSpacing w:w="0" w:type="dxa"/>
          <w:jc w:val="center"/>
        </w:trPr>
        <w:tc>
          <w:tcPr>
            <w:tcW w:w="1590" w:type="dxa"/>
            <w:noWrap w:val="0"/>
            <w:vAlign w:val="center"/>
          </w:tcPr>
          <w:p w14:paraId="041306C5">
            <w:pPr>
              <w:widowControl/>
              <w:spacing w:line="560" w:lineRule="exact"/>
              <w:rPr>
                <w:rFonts w:hint="eastAsia" w:ascii="宋体" w:hAnsi="宋体"/>
                <w:bCs/>
                <w:szCs w:val="21"/>
              </w:rPr>
            </w:pPr>
            <w:r>
              <w:rPr>
                <w:rFonts w:hint="eastAsia" w:ascii="宋体" w:hAnsi="宋体"/>
                <w:bCs/>
                <w:szCs w:val="21"/>
              </w:rPr>
              <w:t>学科基础课</w:t>
            </w:r>
          </w:p>
          <w:p w14:paraId="5C0A2C9B">
            <w:pPr>
              <w:widowControl/>
              <w:spacing w:line="560" w:lineRule="exact"/>
              <w:ind w:firstLine="420"/>
              <w:jc w:val="center"/>
              <w:rPr>
                <w:rFonts w:hint="eastAsia" w:ascii="宋体" w:hAnsi="宋体"/>
                <w:bCs/>
                <w:szCs w:val="21"/>
              </w:rPr>
            </w:pPr>
          </w:p>
        </w:tc>
        <w:tc>
          <w:tcPr>
            <w:tcW w:w="2149" w:type="dxa"/>
            <w:noWrap w:val="0"/>
            <w:vAlign w:val="center"/>
          </w:tcPr>
          <w:p w14:paraId="7B954D84">
            <w:pPr>
              <w:widowControl/>
              <w:spacing w:line="560" w:lineRule="exact"/>
              <w:jc w:val="center"/>
              <w:rPr>
                <w:rFonts w:hint="eastAsia" w:ascii="宋体" w:hAnsi="宋体"/>
                <w:bCs/>
                <w:szCs w:val="21"/>
              </w:rPr>
            </w:pPr>
            <w:r>
              <w:rPr>
                <w:rFonts w:hint="eastAsia" w:ascii="宋体" w:hAnsi="宋体"/>
                <w:bCs/>
                <w:szCs w:val="21"/>
              </w:rPr>
              <w:t>一级学科通开课</w:t>
            </w:r>
          </w:p>
        </w:tc>
        <w:tc>
          <w:tcPr>
            <w:tcW w:w="1312" w:type="dxa"/>
            <w:vMerge w:val="restart"/>
            <w:noWrap w:val="0"/>
            <w:vAlign w:val="center"/>
          </w:tcPr>
          <w:p w14:paraId="1FC3824E">
            <w:pPr>
              <w:widowControl/>
              <w:spacing w:line="560" w:lineRule="exact"/>
              <w:jc w:val="center"/>
              <w:rPr>
                <w:rFonts w:hint="eastAsia" w:ascii="宋体" w:hAnsi="宋体"/>
                <w:bCs/>
                <w:szCs w:val="21"/>
              </w:rPr>
            </w:pPr>
            <w:r>
              <w:rPr>
                <w:rFonts w:hint="eastAsia" w:ascii="宋体" w:hAnsi="宋体"/>
                <w:bCs/>
                <w:szCs w:val="21"/>
              </w:rPr>
              <w:t>≥22（学术型）</w:t>
            </w:r>
          </w:p>
          <w:p w14:paraId="1E585456">
            <w:pPr>
              <w:widowControl/>
              <w:spacing w:line="560" w:lineRule="exact"/>
              <w:jc w:val="center"/>
              <w:rPr>
                <w:rFonts w:hint="eastAsia" w:ascii="宋体" w:hAnsi="宋体"/>
                <w:bCs/>
                <w:szCs w:val="21"/>
              </w:rPr>
            </w:pPr>
            <w:r>
              <w:rPr>
                <w:rFonts w:hint="eastAsia" w:ascii="宋体" w:hAnsi="宋体"/>
                <w:bCs/>
                <w:szCs w:val="21"/>
              </w:rPr>
              <w:t>≥24（专业型）</w:t>
            </w:r>
          </w:p>
        </w:tc>
        <w:tc>
          <w:tcPr>
            <w:tcW w:w="1145" w:type="dxa"/>
            <w:vMerge w:val="restart"/>
            <w:noWrap w:val="0"/>
            <w:vAlign w:val="center"/>
          </w:tcPr>
          <w:p w14:paraId="018AF15F">
            <w:pPr>
              <w:widowControl/>
              <w:spacing w:line="560" w:lineRule="exact"/>
              <w:jc w:val="center"/>
              <w:rPr>
                <w:rFonts w:hint="eastAsia" w:ascii="宋体" w:hAnsi="宋体"/>
                <w:bCs/>
                <w:szCs w:val="21"/>
              </w:rPr>
            </w:pPr>
            <w:r>
              <w:rPr>
                <w:rFonts w:hint="eastAsia" w:ascii="宋体" w:hAnsi="宋体"/>
                <w:bCs/>
                <w:szCs w:val="21"/>
              </w:rPr>
              <w:t>≥352</w:t>
            </w:r>
          </w:p>
          <w:p w14:paraId="39CE4EBC">
            <w:pPr>
              <w:widowControl/>
              <w:spacing w:line="560" w:lineRule="exact"/>
              <w:jc w:val="center"/>
              <w:rPr>
                <w:rFonts w:hint="eastAsia" w:ascii="宋体" w:hAnsi="宋体"/>
                <w:bCs/>
                <w:szCs w:val="21"/>
              </w:rPr>
            </w:pPr>
            <w:r>
              <w:rPr>
                <w:rFonts w:hint="eastAsia" w:ascii="宋体" w:hAnsi="宋体"/>
                <w:bCs/>
                <w:szCs w:val="21"/>
              </w:rPr>
              <w:t>≥384</w:t>
            </w:r>
          </w:p>
        </w:tc>
        <w:tc>
          <w:tcPr>
            <w:tcW w:w="1388" w:type="dxa"/>
            <w:vMerge w:val="restart"/>
            <w:noWrap w:val="0"/>
            <w:vAlign w:val="center"/>
          </w:tcPr>
          <w:p w14:paraId="36F4016A">
            <w:pPr>
              <w:widowControl/>
              <w:spacing w:line="560" w:lineRule="exact"/>
              <w:rPr>
                <w:rFonts w:hint="eastAsia" w:ascii="宋体" w:hAnsi="宋体"/>
                <w:bCs/>
                <w:szCs w:val="21"/>
              </w:rPr>
            </w:pPr>
            <w:r>
              <w:rPr>
                <w:rFonts w:hint="eastAsia" w:ascii="宋体" w:hAnsi="宋体"/>
                <w:bCs/>
                <w:szCs w:val="21"/>
              </w:rPr>
              <w:t>学院自行安排</w:t>
            </w:r>
          </w:p>
        </w:tc>
        <w:tc>
          <w:tcPr>
            <w:tcW w:w="1800" w:type="dxa"/>
            <w:vMerge w:val="restart"/>
            <w:noWrap w:val="0"/>
            <w:vAlign w:val="center"/>
          </w:tcPr>
          <w:p w14:paraId="3EF7E8E3">
            <w:pPr>
              <w:widowControl/>
              <w:spacing w:line="560" w:lineRule="exact"/>
              <w:rPr>
                <w:rFonts w:hint="eastAsia" w:ascii="宋体" w:hAnsi="宋体"/>
                <w:bCs/>
                <w:szCs w:val="21"/>
              </w:rPr>
            </w:pPr>
            <w:r>
              <w:rPr>
                <w:rFonts w:hint="eastAsia" w:ascii="宋体" w:hAnsi="宋体"/>
                <w:bCs/>
                <w:szCs w:val="21"/>
              </w:rPr>
              <w:t>由各学院根据学科专业特色、研究方向开设，并设定具体修读要求</w:t>
            </w:r>
          </w:p>
        </w:tc>
      </w:tr>
      <w:tr w14:paraId="5AE1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blCellSpacing w:w="0" w:type="dxa"/>
          <w:jc w:val="center"/>
        </w:trPr>
        <w:tc>
          <w:tcPr>
            <w:tcW w:w="1590" w:type="dxa"/>
            <w:noWrap w:val="0"/>
            <w:vAlign w:val="center"/>
          </w:tcPr>
          <w:p w14:paraId="1B6C74D7">
            <w:pPr>
              <w:widowControl/>
              <w:spacing w:line="560" w:lineRule="exact"/>
              <w:rPr>
                <w:rFonts w:hint="eastAsia" w:ascii="宋体" w:hAnsi="宋体"/>
                <w:bCs/>
                <w:szCs w:val="21"/>
              </w:rPr>
            </w:pPr>
            <w:r>
              <w:rPr>
                <w:rFonts w:hint="eastAsia" w:ascii="宋体" w:hAnsi="宋体"/>
                <w:bCs/>
                <w:szCs w:val="21"/>
              </w:rPr>
              <w:t>专业必修课、选修课</w:t>
            </w:r>
          </w:p>
        </w:tc>
        <w:tc>
          <w:tcPr>
            <w:tcW w:w="2149" w:type="dxa"/>
            <w:noWrap w:val="0"/>
            <w:vAlign w:val="center"/>
          </w:tcPr>
          <w:p w14:paraId="18BEC5D7">
            <w:pPr>
              <w:widowControl/>
              <w:spacing w:line="560" w:lineRule="exact"/>
              <w:jc w:val="center"/>
              <w:rPr>
                <w:rFonts w:hint="eastAsia" w:ascii="宋体" w:hAnsi="宋体"/>
                <w:bCs/>
                <w:szCs w:val="21"/>
              </w:rPr>
            </w:pPr>
            <w:r>
              <w:rPr>
                <w:rFonts w:hint="eastAsia" w:ascii="宋体" w:hAnsi="宋体"/>
                <w:bCs/>
                <w:szCs w:val="21"/>
              </w:rPr>
              <w:t>各专业及研究方向课程</w:t>
            </w:r>
          </w:p>
        </w:tc>
        <w:tc>
          <w:tcPr>
            <w:tcW w:w="1312" w:type="dxa"/>
            <w:vMerge w:val="continue"/>
            <w:noWrap w:val="0"/>
            <w:vAlign w:val="center"/>
          </w:tcPr>
          <w:p w14:paraId="3B0CA2AE">
            <w:pPr>
              <w:widowControl/>
              <w:spacing w:line="560" w:lineRule="exact"/>
              <w:ind w:firstLine="420"/>
              <w:jc w:val="center"/>
              <w:rPr>
                <w:rFonts w:hint="eastAsia" w:ascii="宋体" w:hAnsi="宋体"/>
                <w:bCs/>
                <w:szCs w:val="21"/>
              </w:rPr>
            </w:pPr>
          </w:p>
        </w:tc>
        <w:tc>
          <w:tcPr>
            <w:tcW w:w="1145" w:type="dxa"/>
            <w:vMerge w:val="continue"/>
            <w:noWrap w:val="0"/>
            <w:vAlign w:val="center"/>
          </w:tcPr>
          <w:p w14:paraId="59363AB5">
            <w:pPr>
              <w:widowControl/>
              <w:spacing w:line="560" w:lineRule="exact"/>
              <w:ind w:firstLine="420"/>
              <w:jc w:val="center"/>
              <w:rPr>
                <w:rFonts w:hint="eastAsia" w:ascii="宋体" w:hAnsi="宋体"/>
                <w:bCs/>
                <w:szCs w:val="21"/>
              </w:rPr>
            </w:pPr>
          </w:p>
        </w:tc>
        <w:tc>
          <w:tcPr>
            <w:tcW w:w="1388" w:type="dxa"/>
            <w:vMerge w:val="continue"/>
            <w:noWrap w:val="0"/>
            <w:vAlign w:val="center"/>
          </w:tcPr>
          <w:p w14:paraId="105BDE90">
            <w:pPr>
              <w:widowControl/>
              <w:spacing w:line="560" w:lineRule="exact"/>
              <w:ind w:firstLine="420"/>
              <w:jc w:val="center"/>
              <w:rPr>
                <w:rFonts w:hint="eastAsia" w:ascii="宋体" w:hAnsi="宋体"/>
                <w:bCs/>
                <w:szCs w:val="21"/>
              </w:rPr>
            </w:pPr>
          </w:p>
        </w:tc>
        <w:tc>
          <w:tcPr>
            <w:tcW w:w="1800" w:type="dxa"/>
            <w:vMerge w:val="continue"/>
            <w:noWrap w:val="0"/>
            <w:vAlign w:val="center"/>
          </w:tcPr>
          <w:p w14:paraId="1CBCDE6C">
            <w:pPr>
              <w:widowControl/>
              <w:spacing w:line="560" w:lineRule="exact"/>
              <w:ind w:firstLine="420"/>
              <w:jc w:val="center"/>
              <w:rPr>
                <w:rFonts w:hint="eastAsia" w:ascii="宋体" w:hAnsi="宋体"/>
                <w:bCs/>
                <w:szCs w:val="21"/>
              </w:rPr>
            </w:pPr>
          </w:p>
        </w:tc>
      </w:tr>
      <w:tr w14:paraId="39351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blCellSpacing w:w="0" w:type="dxa"/>
          <w:jc w:val="center"/>
        </w:trPr>
        <w:tc>
          <w:tcPr>
            <w:tcW w:w="1590" w:type="dxa"/>
            <w:vMerge w:val="restart"/>
            <w:noWrap w:val="0"/>
            <w:vAlign w:val="center"/>
          </w:tcPr>
          <w:p w14:paraId="29BD456A">
            <w:pPr>
              <w:spacing w:line="560" w:lineRule="exact"/>
              <w:rPr>
                <w:rFonts w:hint="eastAsia" w:ascii="宋体" w:hAnsi="宋体"/>
                <w:bCs/>
                <w:szCs w:val="21"/>
              </w:rPr>
            </w:pPr>
            <w:r>
              <w:rPr>
                <w:rFonts w:hint="eastAsia" w:ascii="宋体" w:hAnsi="宋体"/>
                <w:bCs/>
                <w:szCs w:val="21"/>
              </w:rPr>
              <w:t>公共课、学科基础课、跨学科课程和专业课学分总计</w:t>
            </w:r>
          </w:p>
        </w:tc>
        <w:tc>
          <w:tcPr>
            <w:tcW w:w="2149" w:type="dxa"/>
            <w:noWrap w:val="0"/>
            <w:vAlign w:val="center"/>
          </w:tcPr>
          <w:p w14:paraId="67E3E9F5">
            <w:pPr>
              <w:widowControl/>
              <w:spacing w:line="560" w:lineRule="exact"/>
              <w:jc w:val="center"/>
              <w:rPr>
                <w:rFonts w:hint="eastAsia" w:ascii="宋体" w:hAnsi="宋体"/>
                <w:bCs/>
                <w:szCs w:val="21"/>
              </w:rPr>
            </w:pPr>
          </w:p>
        </w:tc>
        <w:tc>
          <w:tcPr>
            <w:tcW w:w="1312" w:type="dxa"/>
            <w:noWrap w:val="0"/>
            <w:vAlign w:val="center"/>
          </w:tcPr>
          <w:p w14:paraId="33177396">
            <w:pPr>
              <w:widowControl/>
              <w:spacing w:line="560" w:lineRule="exact"/>
              <w:ind w:firstLine="420"/>
              <w:rPr>
                <w:rFonts w:hint="eastAsia" w:ascii="宋体" w:hAnsi="宋体"/>
                <w:bCs/>
                <w:szCs w:val="21"/>
              </w:rPr>
            </w:pPr>
            <w:r>
              <w:rPr>
                <w:rFonts w:hint="eastAsia" w:ascii="宋体" w:hAnsi="宋体"/>
                <w:bCs/>
                <w:szCs w:val="21"/>
              </w:rPr>
              <w:t>≥36（学术型硕士）</w:t>
            </w:r>
          </w:p>
        </w:tc>
        <w:tc>
          <w:tcPr>
            <w:tcW w:w="1145" w:type="dxa"/>
            <w:noWrap w:val="0"/>
            <w:vAlign w:val="center"/>
          </w:tcPr>
          <w:p w14:paraId="4DE84306">
            <w:pPr>
              <w:widowControl/>
              <w:spacing w:line="560" w:lineRule="exact"/>
              <w:ind w:firstLine="210"/>
              <w:rPr>
                <w:rFonts w:hint="eastAsia" w:ascii="宋体" w:hAnsi="宋体"/>
                <w:bCs/>
                <w:szCs w:val="21"/>
              </w:rPr>
            </w:pPr>
            <w:r>
              <w:rPr>
                <w:rFonts w:hint="eastAsia" w:ascii="宋体" w:hAnsi="宋体"/>
                <w:bCs/>
                <w:szCs w:val="21"/>
              </w:rPr>
              <w:t>≥576（学术型硕士）</w:t>
            </w:r>
          </w:p>
        </w:tc>
        <w:tc>
          <w:tcPr>
            <w:tcW w:w="1388" w:type="dxa"/>
            <w:vMerge w:val="restart"/>
            <w:noWrap w:val="0"/>
            <w:vAlign w:val="center"/>
          </w:tcPr>
          <w:p w14:paraId="524E4712">
            <w:pPr>
              <w:widowControl/>
              <w:spacing w:line="560" w:lineRule="exact"/>
              <w:rPr>
                <w:rFonts w:ascii="宋体" w:hAnsi="宋体"/>
                <w:bCs/>
                <w:szCs w:val="21"/>
              </w:rPr>
            </w:pPr>
            <w:r>
              <w:rPr>
                <w:rFonts w:hint="eastAsia" w:ascii="宋体" w:hAnsi="宋体"/>
                <w:bCs/>
                <w:szCs w:val="21"/>
              </w:rPr>
              <w:t>2年内完成全部课程学习</w:t>
            </w:r>
          </w:p>
          <w:p w14:paraId="39276AD2">
            <w:pPr>
              <w:spacing w:line="560" w:lineRule="exact"/>
              <w:rPr>
                <w:rFonts w:hint="eastAsia" w:ascii="宋体" w:hAnsi="宋体"/>
                <w:bCs/>
                <w:szCs w:val="21"/>
              </w:rPr>
            </w:pPr>
          </w:p>
        </w:tc>
        <w:tc>
          <w:tcPr>
            <w:tcW w:w="1800" w:type="dxa"/>
            <w:noWrap w:val="0"/>
            <w:vAlign w:val="center"/>
          </w:tcPr>
          <w:p w14:paraId="456075CB">
            <w:pPr>
              <w:widowControl/>
              <w:spacing w:line="560" w:lineRule="exact"/>
              <w:ind w:firstLine="420"/>
              <w:jc w:val="center"/>
              <w:rPr>
                <w:rFonts w:hint="eastAsia" w:ascii="宋体" w:hAnsi="宋体"/>
                <w:bCs/>
                <w:szCs w:val="21"/>
              </w:rPr>
            </w:pPr>
          </w:p>
        </w:tc>
      </w:tr>
      <w:tr w14:paraId="1FCAB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blCellSpacing w:w="0" w:type="dxa"/>
          <w:jc w:val="center"/>
        </w:trPr>
        <w:tc>
          <w:tcPr>
            <w:tcW w:w="1590" w:type="dxa"/>
            <w:vMerge w:val="continue"/>
            <w:noWrap w:val="0"/>
            <w:vAlign w:val="center"/>
          </w:tcPr>
          <w:p w14:paraId="35DE7F2A">
            <w:pPr>
              <w:widowControl/>
              <w:spacing w:line="560" w:lineRule="exact"/>
              <w:rPr>
                <w:rFonts w:hint="eastAsia" w:ascii="宋体" w:hAnsi="宋体"/>
                <w:bCs/>
                <w:szCs w:val="21"/>
              </w:rPr>
            </w:pPr>
          </w:p>
        </w:tc>
        <w:tc>
          <w:tcPr>
            <w:tcW w:w="2149" w:type="dxa"/>
            <w:noWrap w:val="0"/>
            <w:vAlign w:val="center"/>
          </w:tcPr>
          <w:p w14:paraId="39D9ED3F">
            <w:pPr>
              <w:widowControl/>
              <w:spacing w:line="560" w:lineRule="exact"/>
              <w:jc w:val="center"/>
              <w:rPr>
                <w:rFonts w:hint="eastAsia" w:ascii="宋体" w:hAnsi="宋体"/>
                <w:bCs/>
                <w:szCs w:val="21"/>
              </w:rPr>
            </w:pPr>
          </w:p>
        </w:tc>
        <w:tc>
          <w:tcPr>
            <w:tcW w:w="1312" w:type="dxa"/>
            <w:noWrap w:val="0"/>
            <w:vAlign w:val="center"/>
          </w:tcPr>
          <w:p w14:paraId="68840486">
            <w:pPr>
              <w:widowControl/>
              <w:spacing w:line="560" w:lineRule="exact"/>
              <w:ind w:firstLine="420"/>
              <w:rPr>
                <w:rFonts w:hint="eastAsia" w:ascii="宋体" w:hAnsi="宋体"/>
                <w:bCs/>
                <w:szCs w:val="21"/>
              </w:rPr>
            </w:pPr>
            <w:r>
              <w:rPr>
                <w:rFonts w:hint="eastAsia" w:ascii="宋体" w:hAnsi="宋体"/>
                <w:bCs/>
                <w:szCs w:val="21"/>
              </w:rPr>
              <w:t>≥30</w:t>
            </w:r>
          </w:p>
          <w:p w14:paraId="387D66B2">
            <w:pPr>
              <w:widowControl/>
              <w:spacing w:line="560" w:lineRule="exact"/>
              <w:rPr>
                <w:rFonts w:hint="eastAsia" w:ascii="宋体" w:hAnsi="宋体"/>
                <w:bCs/>
                <w:szCs w:val="21"/>
              </w:rPr>
            </w:pPr>
            <w:r>
              <w:rPr>
                <w:rFonts w:hint="eastAsia" w:ascii="宋体" w:hAnsi="宋体"/>
                <w:bCs/>
                <w:szCs w:val="21"/>
              </w:rPr>
              <w:t>（专业型硕士）</w:t>
            </w:r>
          </w:p>
        </w:tc>
        <w:tc>
          <w:tcPr>
            <w:tcW w:w="1145" w:type="dxa"/>
            <w:noWrap w:val="0"/>
            <w:vAlign w:val="center"/>
          </w:tcPr>
          <w:p w14:paraId="2A1617F2">
            <w:pPr>
              <w:widowControl/>
              <w:spacing w:line="560" w:lineRule="exact"/>
              <w:ind w:firstLine="210"/>
              <w:rPr>
                <w:rFonts w:hint="eastAsia" w:ascii="宋体" w:hAnsi="宋体"/>
                <w:bCs/>
                <w:szCs w:val="21"/>
              </w:rPr>
            </w:pPr>
            <w:r>
              <w:rPr>
                <w:rFonts w:hint="eastAsia" w:ascii="宋体" w:hAnsi="宋体"/>
                <w:bCs/>
                <w:szCs w:val="21"/>
              </w:rPr>
              <w:t>≥480（专业型硕士）</w:t>
            </w:r>
          </w:p>
        </w:tc>
        <w:tc>
          <w:tcPr>
            <w:tcW w:w="1388" w:type="dxa"/>
            <w:vMerge w:val="continue"/>
            <w:noWrap w:val="0"/>
            <w:vAlign w:val="center"/>
          </w:tcPr>
          <w:p w14:paraId="01EE5CFF">
            <w:pPr>
              <w:widowControl/>
              <w:spacing w:line="560" w:lineRule="exact"/>
              <w:rPr>
                <w:rFonts w:hint="eastAsia" w:ascii="宋体" w:hAnsi="宋体"/>
                <w:bCs/>
                <w:szCs w:val="21"/>
              </w:rPr>
            </w:pPr>
          </w:p>
        </w:tc>
        <w:tc>
          <w:tcPr>
            <w:tcW w:w="1800" w:type="dxa"/>
            <w:noWrap w:val="0"/>
            <w:vAlign w:val="center"/>
          </w:tcPr>
          <w:p w14:paraId="6AC9BC6F">
            <w:pPr>
              <w:widowControl/>
              <w:spacing w:line="560" w:lineRule="exact"/>
              <w:ind w:firstLine="420"/>
              <w:jc w:val="center"/>
              <w:rPr>
                <w:rFonts w:hint="eastAsia" w:ascii="宋体" w:hAnsi="宋体"/>
                <w:bCs/>
                <w:szCs w:val="21"/>
              </w:rPr>
            </w:pPr>
          </w:p>
        </w:tc>
      </w:tr>
      <w:tr w14:paraId="04B9F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blCellSpacing w:w="0" w:type="dxa"/>
          <w:jc w:val="center"/>
        </w:trPr>
        <w:tc>
          <w:tcPr>
            <w:tcW w:w="1590" w:type="dxa"/>
            <w:noWrap w:val="0"/>
            <w:vAlign w:val="center"/>
          </w:tcPr>
          <w:p w14:paraId="2DD254A9">
            <w:pPr>
              <w:widowControl/>
              <w:spacing w:line="560" w:lineRule="exact"/>
              <w:rPr>
                <w:rFonts w:hint="eastAsia" w:ascii="宋体" w:hAnsi="宋体"/>
                <w:bCs/>
                <w:szCs w:val="21"/>
              </w:rPr>
            </w:pPr>
            <w:r>
              <w:rPr>
                <w:rFonts w:hint="eastAsia" w:ascii="宋体" w:hAnsi="宋体"/>
                <w:bCs/>
                <w:szCs w:val="21"/>
              </w:rPr>
              <w:t>必修环节</w:t>
            </w:r>
          </w:p>
        </w:tc>
        <w:tc>
          <w:tcPr>
            <w:tcW w:w="2149" w:type="dxa"/>
            <w:noWrap w:val="0"/>
            <w:vAlign w:val="center"/>
          </w:tcPr>
          <w:p w14:paraId="18DD5AA7">
            <w:pPr>
              <w:widowControl/>
              <w:spacing w:line="560" w:lineRule="exact"/>
              <w:jc w:val="center"/>
              <w:rPr>
                <w:rFonts w:hint="eastAsia" w:ascii="宋体" w:hAnsi="宋体"/>
                <w:bCs/>
                <w:szCs w:val="21"/>
              </w:rPr>
            </w:pPr>
          </w:p>
        </w:tc>
        <w:tc>
          <w:tcPr>
            <w:tcW w:w="1312" w:type="dxa"/>
            <w:noWrap w:val="0"/>
            <w:vAlign w:val="center"/>
          </w:tcPr>
          <w:p w14:paraId="005BFBFE">
            <w:pPr>
              <w:widowControl/>
              <w:spacing w:line="560" w:lineRule="exact"/>
              <w:ind w:firstLine="210"/>
              <w:rPr>
                <w:rFonts w:hint="eastAsia" w:ascii="宋体" w:hAnsi="宋体"/>
                <w:bCs/>
                <w:szCs w:val="21"/>
              </w:rPr>
            </w:pPr>
            <w:r>
              <w:rPr>
                <w:rFonts w:hint="eastAsia" w:ascii="宋体" w:hAnsi="宋体"/>
                <w:bCs/>
                <w:szCs w:val="21"/>
              </w:rPr>
              <w:t xml:space="preserve">5学分  </w:t>
            </w:r>
          </w:p>
        </w:tc>
        <w:tc>
          <w:tcPr>
            <w:tcW w:w="1145" w:type="dxa"/>
            <w:noWrap w:val="0"/>
            <w:vAlign w:val="center"/>
          </w:tcPr>
          <w:p w14:paraId="4E99E101">
            <w:pPr>
              <w:widowControl/>
              <w:spacing w:line="560" w:lineRule="exact"/>
              <w:ind w:firstLine="210"/>
              <w:rPr>
                <w:rFonts w:hint="eastAsia" w:ascii="宋体" w:hAnsi="宋体"/>
                <w:bCs/>
                <w:szCs w:val="21"/>
              </w:rPr>
            </w:pPr>
          </w:p>
        </w:tc>
        <w:tc>
          <w:tcPr>
            <w:tcW w:w="1388" w:type="dxa"/>
            <w:noWrap w:val="0"/>
            <w:vAlign w:val="center"/>
          </w:tcPr>
          <w:p w14:paraId="5E9C01E2">
            <w:pPr>
              <w:widowControl/>
              <w:spacing w:line="560" w:lineRule="exact"/>
              <w:rPr>
                <w:rFonts w:hint="eastAsia" w:ascii="宋体" w:hAnsi="宋体"/>
                <w:bCs/>
                <w:szCs w:val="21"/>
              </w:rPr>
            </w:pPr>
          </w:p>
        </w:tc>
        <w:tc>
          <w:tcPr>
            <w:tcW w:w="1800" w:type="dxa"/>
            <w:noWrap w:val="0"/>
            <w:vAlign w:val="center"/>
          </w:tcPr>
          <w:p w14:paraId="33122738">
            <w:pPr>
              <w:widowControl/>
              <w:spacing w:line="560" w:lineRule="exact"/>
              <w:ind w:firstLine="420"/>
              <w:jc w:val="center"/>
              <w:rPr>
                <w:rFonts w:hint="eastAsia" w:ascii="宋体" w:hAnsi="宋体"/>
                <w:bCs/>
                <w:szCs w:val="21"/>
              </w:rPr>
            </w:pPr>
          </w:p>
        </w:tc>
      </w:tr>
    </w:tbl>
    <w:p w14:paraId="5FC84A37">
      <w:pPr>
        <w:spacing w:line="360" w:lineRule="auto"/>
        <w:rPr>
          <w:rFonts w:hint="eastAsia" w:ascii="宋体" w:hAnsi="宋体"/>
          <w:sz w:val="24"/>
        </w:rPr>
      </w:pPr>
      <w:r>
        <w:rPr>
          <w:rFonts w:hint="eastAsia" w:ascii="宋体" w:hAnsi="宋体"/>
          <w:b/>
          <w:bCs/>
          <w:sz w:val="24"/>
        </w:rPr>
        <w:t>3.硕士留学生：</w:t>
      </w:r>
      <w:r>
        <w:rPr>
          <w:rFonts w:hint="eastAsia" w:ascii="宋体" w:hAnsi="宋体"/>
          <w:sz w:val="24"/>
        </w:rPr>
        <w:t>总学分≥34学分，其中学位课学分≥34学分，非学位课自行选修。英文授课留学生应开设相应的英文课程。</w:t>
      </w:r>
    </w:p>
    <w:tbl>
      <w:tblPr>
        <w:tblStyle w:val="29"/>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2000"/>
        <w:gridCol w:w="1223"/>
        <w:gridCol w:w="1065"/>
        <w:gridCol w:w="1292"/>
        <w:gridCol w:w="2045"/>
      </w:tblGrid>
      <w:tr w14:paraId="718D2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80" w:type="dxa"/>
            <w:shd w:val="clear" w:color="auto" w:fill="33CCCC"/>
            <w:noWrap w:val="0"/>
            <w:vAlign w:val="center"/>
          </w:tcPr>
          <w:p w14:paraId="6070F98F">
            <w:pPr>
              <w:spacing w:line="360" w:lineRule="auto"/>
              <w:jc w:val="center"/>
              <w:rPr>
                <w:rFonts w:hint="eastAsia" w:ascii="黑体" w:hAnsi="黑体" w:eastAsia="黑体"/>
                <w:szCs w:val="21"/>
              </w:rPr>
            </w:pPr>
            <w:r>
              <w:rPr>
                <w:rFonts w:hint="eastAsia" w:ascii="黑体" w:hAnsi="黑体" w:eastAsia="黑体"/>
                <w:szCs w:val="21"/>
              </w:rPr>
              <w:t>课程性质</w:t>
            </w:r>
          </w:p>
        </w:tc>
        <w:tc>
          <w:tcPr>
            <w:tcW w:w="2000" w:type="dxa"/>
            <w:shd w:val="clear" w:color="auto" w:fill="33CCCC"/>
            <w:noWrap w:val="0"/>
            <w:vAlign w:val="center"/>
          </w:tcPr>
          <w:p w14:paraId="518957B3">
            <w:pPr>
              <w:spacing w:line="360" w:lineRule="auto"/>
              <w:jc w:val="center"/>
              <w:rPr>
                <w:rFonts w:hint="eastAsia" w:ascii="黑体" w:hAnsi="黑体" w:eastAsia="黑体"/>
                <w:szCs w:val="21"/>
              </w:rPr>
            </w:pPr>
            <w:r>
              <w:rPr>
                <w:rFonts w:hint="eastAsia" w:ascii="黑体" w:hAnsi="黑体" w:eastAsia="黑体"/>
                <w:szCs w:val="21"/>
              </w:rPr>
              <w:t>课程名称</w:t>
            </w:r>
          </w:p>
        </w:tc>
        <w:tc>
          <w:tcPr>
            <w:tcW w:w="1223" w:type="dxa"/>
            <w:shd w:val="clear" w:color="auto" w:fill="33CCCC"/>
            <w:noWrap w:val="0"/>
            <w:vAlign w:val="center"/>
          </w:tcPr>
          <w:p w14:paraId="0EDD8590">
            <w:pPr>
              <w:spacing w:line="360" w:lineRule="auto"/>
              <w:jc w:val="center"/>
              <w:rPr>
                <w:rFonts w:hint="eastAsia" w:ascii="黑体" w:hAnsi="黑体" w:eastAsia="黑体"/>
                <w:szCs w:val="21"/>
              </w:rPr>
            </w:pPr>
            <w:r>
              <w:rPr>
                <w:rFonts w:hint="eastAsia" w:ascii="黑体" w:hAnsi="黑体" w:eastAsia="黑体"/>
                <w:szCs w:val="21"/>
              </w:rPr>
              <w:t>总学分</w:t>
            </w:r>
          </w:p>
        </w:tc>
        <w:tc>
          <w:tcPr>
            <w:tcW w:w="1065" w:type="dxa"/>
            <w:shd w:val="clear" w:color="auto" w:fill="33CCCC"/>
            <w:noWrap w:val="0"/>
            <w:vAlign w:val="center"/>
          </w:tcPr>
          <w:p w14:paraId="2444EBDA">
            <w:pPr>
              <w:spacing w:line="360" w:lineRule="auto"/>
              <w:jc w:val="center"/>
              <w:rPr>
                <w:rFonts w:hint="eastAsia" w:ascii="黑体" w:hAnsi="黑体" w:eastAsia="黑体"/>
                <w:szCs w:val="21"/>
              </w:rPr>
            </w:pPr>
            <w:r>
              <w:rPr>
                <w:rFonts w:hint="eastAsia" w:ascii="黑体" w:hAnsi="黑体" w:eastAsia="黑体"/>
                <w:szCs w:val="21"/>
              </w:rPr>
              <w:t>总学时</w:t>
            </w:r>
          </w:p>
        </w:tc>
        <w:tc>
          <w:tcPr>
            <w:tcW w:w="1292" w:type="dxa"/>
            <w:shd w:val="clear" w:color="auto" w:fill="33CCCC"/>
            <w:noWrap w:val="0"/>
            <w:vAlign w:val="center"/>
          </w:tcPr>
          <w:p w14:paraId="29224732">
            <w:pPr>
              <w:spacing w:line="360" w:lineRule="auto"/>
              <w:jc w:val="center"/>
              <w:rPr>
                <w:rFonts w:hint="eastAsia" w:ascii="黑体" w:hAnsi="黑体" w:eastAsia="黑体"/>
                <w:szCs w:val="21"/>
              </w:rPr>
            </w:pPr>
            <w:r>
              <w:rPr>
                <w:rFonts w:hint="eastAsia" w:ascii="黑体" w:hAnsi="黑体" w:eastAsia="黑体"/>
                <w:szCs w:val="21"/>
              </w:rPr>
              <w:t>开课学期</w:t>
            </w:r>
          </w:p>
        </w:tc>
        <w:tc>
          <w:tcPr>
            <w:tcW w:w="2045" w:type="dxa"/>
            <w:shd w:val="clear" w:color="auto" w:fill="33CCCC"/>
            <w:noWrap w:val="0"/>
            <w:vAlign w:val="center"/>
          </w:tcPr>
          <w:p w14:paraId="4CDE04B3">
            <w:pPr>
              <w:spacing w:line="360" w:lineRule="auto"/>
              <w:jc w:val="center"/>
              <w:rPr>
                <w:rFonts w:hint="eastAsia" w:ascii="黑体" w:hAnsi="黑体" w:eastAsia="黑体"/>
                <w:szCs w:val="21"/>
              </w:rPr>
            </w:pPr>
            <w:r>
              <w:rPr>
                <w:rFonts w:hint="eastAsia" w:ascii="黑体" w:hAnsi="黑体" w:eastAsia="黑体"/>
                <w:szCs w:val="21"/>
              </w:rPr>
              <w:t>备注</w:t>
            </w:r>
          </w:p>
        </w:tc>
      </w:tr>
      <w:tr w14:paraId="7B13F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blCellSpacing w:w="0" w:type="dxa"/>
          <w:jc w:val="center"/>
        </w:trPr>
        <w:tc>
          <w:tcPr>
            <w:tcW w:w="1480" w:type="dxa"/>
            <w:vMerge w:val="restart"/>
            <w:noWrap w:val="0"/>
            <w:vAlign w:val="center"/>
          </w:tcPr>
          <w:p w14:paraId="1F3B7D44">
            <w:pPr>
              <w:widowControl/>
              <w:spacing w:line="560" w:lineRule="exact"/>
              <w:jc w:val="center"/>
              <w:rPr>
                <w:rFonts w:hint="eastAsia" w:ascii="宋体" w:hAnsi="宋体"/>
                <w:bCs/>
                <w:szCs w:val="21"/>
              </w:rPr>
            </w:pPr>
            <w:r>
              <w:rPr>
                <w:rFonts w:hint="eastAsia" w:ascii="宋体" w:hAnsi="宋体"/>
                <w:bCs/>
                <w:szCs w:val="21"/>
              </w:rPr>
              <w:t>公共课（必修）</w:t>
            </w:r>
          </w:p>
        </w:tc>
        <w:tc>
          <w:tcPr>
            <w:tcW w:w="2000" w:type="dxa"/>
            <w:noWrap w:val="0"/>
            <w:vAlign w:val="center"/>
          </w:tcPr>
          <w:p w14:paraId="6A134CC6">
            <w:pPr>
              <w:spacing w:line="360" w:lineRule="auto"/>
              <w:ind w:left="-2" w:right="-107" w:firstLine="840"/>
              <w:rPr>
                <w:rFonts w:hint="eastAsia" w:ascii="宋体" w:hAnsi="宋体"/>
                <w:szCs w:val="21"/>
              </w:rPr>
            </w:pPr>
            <w:r>
              <w:rPr>
                <w:rFonts w:hint="eastAsia" w:ascii="宋体" w:hAnsi="宋体"/>
                <w:szCs w:val="21"/>
              </w:rPr>
              <w:t>汉语</w:t>
            </w:r>
          </w:p>
          <w:p w14:paraId="5EDAA12D">
            <w:pPr>
              <w:widowControl/>
              <w:spacing w:line="560" w:lineRule="exact"/>
              <w:jc w:val="center"/>
              <w:rPr>
                <w:rFonts w:hint="eastAsia" w:ascii="宋体" w:hAnsi="宋体"/>
                <w:bCs/>
                <w:szCs w:val="21"/>
              </w:rPr>
            </w:pPr>
            <w:r>
              <w:rPr>
                <w:rFonts w:hint="eastAsia" w:ascii="宋体" w:hAnsi="宋体"/>
                <w:szCs w:val="21"/>
              </w:rPr>
              <w:t>（或HSK通过5级）</w:t>
            </w:r>
          </w:p>
        </w:tc>
        <w:tc>
          <w:tcPr>
            <w:tcW w:w="1223" w:type="dxa"/>
            <w:noWrap w:val="0"/>
            <w:vAlign w:val="center"/>
          </w:tcPr>
          <w:p w14:paraId="71B25210">
            <w:pPr>
              <w:widowControl/>
              <w:spacing w:line="560" w:lineRule="exact"/>
              <w:jc w:val="center"/>
              <w:rPr>
                <w:rFonts w:hint="eastAsia" w:ascii="宋体" w:hAnsi="宋体"/>
                <w:bCs/>
                <w:szCs w:val="21"/>
              </w:rPr>
            </w:pPr>
            <w:r>
              <w:rPr>
                <w:rFonts w:hint="eastAsia" w:ascii="宋体" w:hAnsi="宋体"/>
                <w:bCs/>
                <w:szCs w:val="21"/>
              </w:rPr>
              <w:t>8</w:t>
            </w:r>
          </w:p>
        </w:tc>
        <w:tc>
          <w:tcPr>
            <w:tcW w:w="1065" w:type="dxa"/>
            <w:noWrap w:val="0"/>
            <w:vAlign w:val="center"/>
          </w:tcPr>
          <w:p w14:paraId="471C9379">
            <w:pPr>
              <w:widowControl/>
              <w:spacing w:line="560" w:lineRule="exact"/>
              <w:jc w:val="center"/>
              <w:rPr>
                <w:rFonts w:hint="eastAsia" w:ascii="宋体" w:hAnsi="宋体"/>
                <w:bCs/>
                <w:szCs w:val="21"/>
              </w:rPr>
            </w:pPr>
            <w:r>
              <w:rPr>
                <w:rFonts w:hint="eastAsia" w:ascii="宋体" w:hAnsi="宋体"/>
                <w:bCs/>
                <w:szCs w:val="21"/>
              </w:rPr>
              <w:t>128</w:t>
            </w:r>
          </w:p>
        </w:tc>
        <w:tc>
          <w:tcPr>
            <w:tcW w:w="1292" w:type="dxa"/>
            <w:noWrap w:val="0"/>
            <w:vAlign w:val="center"/>
          </w:tcPr>
          <w:p w14:paraId="4DD9E1FF">
            <w:pPr>
              <w:widowControl/>
              <w:spacing w:line="560" w:lineRule="exact"/>
              <w:jc w:val="center"/>
              <w:rPr>
                <w:rFonts w:hint="eastAsia" w:ascii="宋体" w:hAnsi="宋体"/>
                <w:bCs/>
                <w:szCs w:val="21"/>
              </w:rPr>
            </w:pPr>
            <w:r>
              <w:rPr>
                <w:rFonts w:hint="eastAsia" w:ascii="宋体" w:hAnsi="宋体"/>
                <w:bCs/>
                <w:szCs w:val="21"/>
              </w:rPr>
              <w:t>第1-2学期</w:t>
            </w:r>
          </w:p>
        </w:tc>
        <w:tc>
          <w:tcPr>
            <w:tcW w:w="2045" w:type="dxa"/>
            <w:vMerge w:val="restart"/>
            <w:noWrap w:val="0"/>
            <w:vAlign w:val="center"/>
          </w:tcPr>
          <w:p w14:paraId="495BD2EE">
            <w:pPr>
              <w:widowControl/>
              <w:spacing w:line="560" w:lineRule="exact"/>
              <w:rPr>
                <w:rFonts w:hint="eastAsia" w:ascii="宋体" w:hAnsi="宋体"/>
                <w:bCs/>
                <w:szCs w:val="21"/>
              </w:rPr>
            </w:pPr>
            <w:r>
              <w:rPr>
                <w:rFonts w:hint="eastAsia" w:ascii="宋体" w:hAnsi="宋体"/>
                <w:bCs/>
                <w:szCs w:val="21"/>
              </w:rPr>
              <w:t xml:space="preserve">       必修</w:t>
            </w:r>
          </w:p>
        </w:tc>
      </w:tr>
      <w:tr w14:paraId="01BA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blCellSpacing w:w="0" w:type="dxa"/>
          <w:jc w:val="center"/>
        </w:trPr>
        <w:tc>
          <w:tcPr>
            <w:tcW w:w="1480" w:type="dxa"/>
            <w:vMerge w:val="continue"/>
            <w:noWrap w:val="0"/>
            <w:vAlign w:val="center"/>
          </w:tcPr>
          <w:p w14:paraId="51A818C1">
            <w:pPr>
              <w:widowControl/>
              <w:spacing w:line="560" w:lineRule="exact"/>
              <w:jc w:val="center"/>
              <w:rPr>
                <w:rFonts w:ascii="宋体" w:hAnsi="宋体"/>
                <w:szCs w:val="21"/>
              </w:rPr>
            </w:pPr>
          </w:p>
        </w:tc>
        <w:tc>
          <w:tcPr>
            <w:tcW w:w="2000" w:type="dxa"/>
            <w:noWrap w:val="0"/>
            <w:vAlign w:val="center"/>
          </w:tcPr>
          <w:p w14:paraId="3C441F80">
            <w:pPr>
              <w:widowControl/>
              <w:spacing w:line="560" w:lineRule="exact"/>
              <w:jc w:val="center"/>
              <w:rPr>
                <w:rFonts w:ascii="宋体" w:hAnsi="宋体"/>
                <w:szCs w:val="21"/>
              </w:rPr>
            </w:pPr>
            <w:r>
              <w:rPr>
                <w:rFonts w:hint="eastAsia" w:ascii="宋体" w:hAnsi="宋体"/>
                <w:szCs w:val="21"/>
              </w:rPr>
              <w:t>中国文化</w:t>
            </w:r>
          </w:p>
        </w:tc>
        <w:tc>
          <w:tcPr>
            <w:tcW w:w="1223" w:type="dxa"/>
            <w:noWrap w:val="0"/>
            <w:vAlign w:val="center"/>
          </w:tcPr>
          <w:p w14:paraId="20F6C4F5">
            <w:pPr>
              <w:widowControl/>
              <w:spacing w:line="560" w:lineRule="exact"/>
              <w:jc w:val="center"/>
              <w:rPr>
                <w:rFonts w:hint="eastAsia" w:ascii="宋体" w:hAnsi="宋体"/>
                <w:bCs/>
                <w:szCs w:val="21"/>
              </w:rPr>
            </w:pPr>
            <w:r>
              <w:rPr>
                <w:rFonts w:hint="eastAsia" w:ascii="宋体" w:hAnsi="宋体"/>
                <w:bCs/>
                <w:szCs w:val="21"/>
              </w:rPr>
              <w:t>2</w:t>
            </w:r>
          </w:p>
        </w:tc>
        <w:tc>
          <w:tcPr>
            <w:tcW w:w="1065" w:type="dxa"/>
            <w:noWrap w:val="0"/>
            <w:vAlign w:val="center"/>
          </w:tcPr>
          <w:p w14:paraId="1225A0E9">
            <w:pPr>
              <w:widowControl/>
              <w:spacing w:line="560" w:lineRule="exact"/>
              <w:jc w:val="center"/>
              <w:rPr>
                <w:rFonts w:hint="eastAsia" w:ascii="宋体" w:hAnsi="宋体"/>
                <w:bCs/>
                <w:szCs w:val="21"/>
              </w:rPr>
            </w:pPr>
            <w:r>
              <w:rPr>
                <w:rFonts w:hint="eastAsia" w:ascii="宋体" w:hAnsi="宋体"/>
                <w:bCs/>
                <w:szCs w:val="21"/>
              </w:rPr>
              <w:t>32</w:t>
            </w:r>
          </w:p>
        </w:tc>
        <w:tc>
          <w:tcPr>
            <w:tcW w:w="1292" w:type="dxa"/>
            <w:noWrap w:val="0"/>
            <w:vAlign w:val="center"/>
          </w:tcPr>
          <w:p w14:paraId="6FB12E00">
            <w:pPr>
              <w:widowControl/>
              <w:spacing w:line="560" w:lineRule="exact"/>
              <w:jc w:val="center"/>
              <w:rPr>
                <w:rFonts w:hint="eastAsia" w:ascii="宋体" w:hAnsi="宋体"/>
                <w:bCs/>
                <w:szCs w:val="21"/>
              </w:rPr>
            </w:pPr>
            <w:r>
              <w:rPr>
                <w:rFonts w:hint="eastAsia" w:ascii="宋体" w:hAnsi="宋体"/>
                <w:bCs/>
                <w:szCs w:val="21"/>
              </w:rPr>
              <w:t>第1学期</w:t>
            </w:r>
          </w:p>
        </w:tc>
        <w:tc>
          <w:tcPr>
            <w:tcW w:w="2045" w:type="dxa"/>
            <w:vMerge w:val="continue"/>
            <w:noWrap w:val="0"/>
            <w:vAlign w:val="center"/>
          </w:tcPr>
          <w:p w14:paraId="2A23212B">
            <w:pPr>
              <w:widowControl/>
              <w:spacing w:line="560" w:lineRule="exact"/>
              <w:jc w:val="center"/>
              <w:rPr>
                <w:rFonts w:hint="eastAsia" w:ascii="宋体" w:hAnsi="宋体"/>
                <w:bCs/>
                <w:szCs w:val="21"/>
              </w:rPr>
            </w:pPr>
          </w:p>
        </w:tc>
      </w:tr>
      <w:tr w14:paraId="37A7F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80" w:type="dxa"/>
            <w:noWrap w:val="0"/>
            <w:vAlign w:val="center"/>
          </w:tcPr>
          <w:p w14:paraId="19173E09">
            <w:pPr>
              <w:widowControl/>
              <w:spacing w:line="560" w:lineRule="exact"/>
              <w:rPr>
                <w:rFonts w:hint="eastAsia" w:ascii="宋体" w:hAnsi="宋体"/>
                <w:bCs/>
                <w:szCs w:val="21"/>
              </w:rPr>
            </w:pPr>
            <w:r>
              <w:rPr>
                <w:rFonts w:hint="eastAsia" w:ascii="宋体" w:hAnsi="宋体"/>
                <w:bCs/>
                <w:szCs w:val="21"/>
              </w:rPr>
              <w:t>公共课（选修）</w:t>
            </w:r>
          </w:p>
        </w:tc>
        <w:tc>
          <w:tcPr>
            <w:tcW w:w="2000" w:type="dxa"/>
            <w:noWrap w:val="0"/>
            <w:vAlign w:val="center"/>
          </w:tcPr>
          <w:p w14:paraId="506A8F86">
            <w:pPr>
              <w:widowControl/>
              <w:spacing w:line="560" w:lineRule="exact"/>
              <w:jc w:val="center"/>
              <w:rPr>
                <w:rFonts w:hint="eastAsia" w:ascii="宋体" w:hAnsi="宋体"/>
                <w:bCs/>
                <w:szCs w:val="21"/>
              </w:rPr>
            </w:pPr>
          </w:p>
        </w:tc>
        <w:tc>
          <w:tcPr>
            <w:tcW w:w="1223" w:type="dxa"/>
            <w:noWrap w:val="0"/>
            <w:vAlign w:val="center"/>
          </w:tcPr>
          <w:p w14:paraId="1B0442AA">
            <w:pPr>
              <w:widowControl/>
              <w:spacing w:line="560" w:lineRule="exact"/>
              <w:rPr>
                <w:rFonts w:hint="eastAsia" w:ascii="宋体" w:hAnsi="宋体"/>
                <w:bCs/>
                <w:szCs w:val="21"/>
              </w:rPr>
            </w:pPr>
          </w:p>
        </w:tc>
        <w:tc>
          <w:tcPr>
            <w:tcW w:w="1065" w:type="dxa"/>
            <w:noWrap w:val="0"/>
            <w:vAlign w:val="center"/>
          </w:tcPr>
          <w:p w14:paraId="075BC9B9">
            <w:pPr>
              <w:widowControl/>
              <w:spacing w:line="560" w:lineRule="exact"/>
              <w:jc w:val="center"/>
              <w:rPr>
                <w:rFonts w:hint="eastAsia" w:ascii="宋体" w:hAnsi="宋体"/>
                <w:bCs/>
                <w:szCs w:val="21"/>
              </w:rPr>
            </w:pPr>
          </w:p>
        </w:tc>
        <w:tc>
          <w:tcPr>
            <w:tcW w:w="1292" w:type="dxa"/>
            <w:noWrap w:val="0"/>
            <w:vAlign w:val="center"/>
          </w:tcPr>
          <w:p w14:paraId="00556323">
            <w:pPr>
              <w:widowControl/>
              <w:spacing w:line="560" w:lineRule="exact"/>
              <w:jc w:val="center"/>
              <w:rPr>
                <w:rFonts w:hint="eastAsia" w:ascii="宋体" w:hAnsi="宋体"/>
                <w:bCs/>
                <w:szCs w:val="21"/>
              </w:rPr>
            </w:pPr>
            <w:r>
              <w:rPr>
                <w:rFonts w:hint="eastAsia" w:ascii="宋体" w:hAnsi="宋体"/>
                <w:bCs/>
                <w:szCs w:val="21"/>
              </w:rPr>
              <w:t>根据当学期课程自行选修</w:t>
            </w:r>
          </w:p>
        </w:tc>
        <w:tc>
          <w:tcPr>
            <w:tcW w:w="2045" w:type="dxa"/>
            <w:noWrap w:val="0"/>
            <w:vAlign w:val="center"/>
          </w:tcPr>
          <w:p w14:paraId="59E7621A">
            <w:pPr>
              <w:widowControl/>
              <w:spacing w:line="560" w:lineRule="exact"/>
              <w:jc w:val="center"/>
              <w:rPr>
                <w:rFonts w:hint="eastAsia" w:ascii="宋体" w:hAnsi="宋体"/>
                <w:bCs/>
                <w:szCs w:val="21"/>
              </w:rPr>
            </w:pPr>
            <w:r>
              <w:rPr>
                <w:rFonts w:hint="eastAsia" w:ascii="宋体" w:hAnsi="宋体"/>
                <w:bCs/>
                <w:szCs w:val="21"/>
              </w:rPr>
              <w:t>研究生在导师的指导下选修</w:t>
            </w:r>
          </w:p>
        </w:tc>
      </w:tr>
      <w:tr w14:paraId="5F17C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blCellSpacing w:w="0" w:type="dxa"/>
          <w:jc w:val="center"/>
        </w:trPr>
        <w:tc>
          <w:tcPr>
            <w:tcW w:w="1480" w:type="dxa"/>
            <w:noWrap w:val="0"/>
            <w:vAlign w:val="center"/>
          </w:tcPr>
          <w:p w14:paraId="670805C6">
            <w:pPr>
              <w:widowControl/>
              <w:spacing w:line="560" w:lineRule="exact"/>
              <w:jc w:val="center"/>
              <w:rPr>
                <w:rFonts w:hint="eastAsia" w:ascii="宋体" w:hAnsi="宋体"/>
                <w:bCs/>
                <w:szCs w:val="21"/>
              </w:rPr>
            </w:pPr>
            <w:r>
              <w:rPr>
                <w:rFonts w:hint="eastAsia" w:ascii="宋体" w:hAnsi="宋体"/>
                <w:bCs/>
                <w:szCs w:val="21"/>
              </w:rPr>
              <w:t>学科基础课</w:t>
            </w:r>
          </w:p>
          <w:p w14:paraId="4F309A23">
            <w:pPr>
              <w:widowControl/>
              <w:spacing w:line="560" w:lineRule="exact"/>
              <w:ind w:firstLine="420"/>
              <w:jc w:val="center"/>
              <w:rPr>
                <w:rFonts w:hint="eastAsia" w:ascii="宋体" w:hAnsi="宋体"/>
                <w:bCs/>
                <w:szCs w:val="21"/>
              </w:rPr>
            </w:pPr>
          </w:p>
        </w:tc>
        <w:tc>
          <w:tcPr>
            <w:tcW w:w="2000" w:type="dxa"/>
            <w:noWrap w:val="0"/>
            <w:vAlign w:val="center"/>
          </w:tcPr>
          <w:p w14:paraId="1765770E">
            <w:pPr>
              <w:widowControl/>
              <w:spacing w:line="560" w:lineRule="exact"/>
              <w:jc w:val="center"/>
              <w:rPr>
                <w:rFonts w:hint="eastAsia" w:ascii="宋体" w:hAnsi="宋体"/>
                <w:bCs/>
                <w:szCs w:val="21"/>
              </w:rPr>
            </w:pPr>
            <w:r>
              <w:rPr>
                <w:rFonts w:hint="eastAsia" w:ascii="宋体" w:hAnsi="宋体"/>
                <w:bCs/>
                <w:szCs w:val="21"/>
              </w:rPr>
              <w:t>一级学科通开课</w:t>
            </w:r>
          </w:p>
        </w:tc>
        <w:tc>
          <w:tcPr>
            <w:tcW w:w="1223" w:type="dxa"/>
            <w:vMerge w:val="restart"/>
            <w:noWrap w:val="0"/>
            <w:vAlign w:val="center"/>
          </w:tcPr>
          <w:p w14:paraId="4235AF5C">
            <w:pPr>
              <w:widowControl/>
              <w:spacing w:line="560" w:lineRule="exact"/>
              <w:jc w:val="center"/>
              <w:rPr>
                <w:rFonts w:hint="eastAsia" w:ascii="宋体" w:hAnsi="宋体"/>
                <w:bCs/>
                <w:szCs w:val="21"/>
              </w:rPr>
            </w:pPr>
            <w:r>
              <w:rPr>
                <w:rFonts w:hint="eastAsia" w:ascii="宋体" w:hAnsi="宋体"/>
                <w:bCs/>
                <w:szCs w:val="21"/>
              </w:rPr>
              <w:t>≥24</w:t>
            </w:r>
          </w:p>
        </w:tc>
        <w:tc>
          <w:tcPr>
            <w:tcW w:w="1065" w:type="dxa"/>
            <w:vMerge w:val="restart"/>
            <w:noWrap w:val="0"/>
            <w:vAlign w:val="center"/>
          </w:tcPr>
          <w:p w14:paraId="497AA392">
            <w:pPr>
              <w:widowControl/>
              <w:spacing w:line="560" w:lineRule="exact"/>
              <w:jc w:val="center"/>
              <w:rPr>
                <w:rFonts w:hint="eastAsia" w:ascii="宋体" w:hAnsi="宋体"/>
                <w:bCs/>
                <w:szCs w:val="21"/>
              </w:rPr>
            </w:pPr>
            <w:r>
              <w:rPr>
                <w:rFonts w:hint="eastAsia" w:ascii="宋体" w:hAnsi="宋体"/>
                <w:bCs/>
                <w:szCs w:val="21"/>
              </w:rPr>
              <w:t>≥384</w:t>
            </w:r>
          </w:p>
        </w:tc>
        <w:tc>
          <w:tcPr>
            <w:tcW w:w="1292" w:type="dxa"/>
            <w:vMerge w:val="restart"/>
            <w:noWrap w:val="0"/>
            <w:vAlign w:val="center"/>
          </w:tcPr>
          <w:p w14:paraId="2A23D5EA">
            <w:pPr>
              <w:widowControl/>
              <w:spacing w:line="560" w:lineRule="exact"/>
              <w:rPr>
                <w:rFonts w:hint="eastAsia" w:ascii="宋体" w:hAnsi="宋体"/>
                <w:bCs/>
                <w:szCs w:val="21"/>
              </w:rPr>
            </w:pPr>
            <w:r>
              <w:rPr>
                <w:rFonts w:hint="eastAsia" w:ascii="宋体" w:hAnsi="宋体"/>
                <w:bCs/>
                <w:szCs w:val="21"/>
              </w:rPr>
              <w:t>学院自行安排</w:t>
            </w:r>
          </w:p>
        </w:tc>
        <w:tc>
          <w:tcPr>
            <w:tcW w:w="2045" w:type="dxa"/>
            <w:vMerge w:val="restart"/>
            <w:noWrap w:val="0"/>
            <w:vAlign w:val="center"/>
          </w:tcPr>
          <w:p w14:paraId="35DFA7CF">
            <w:pPr>
              <w:widowControl/>
              <w:spacing w:line="560" w:lineRule="exact"/>
              <w:jc w:val="center"/>
              <w:rPr>
                <w:rFonts w:hint="eastAsia" w:ascii="宋体" w:hAnsi="宋体"/>
                <w:bCs/>
                <w:szCs w:val="21"/>
              </w:rPr>
            </w:pPr>
            <w:r>
              <w:rPr>
                <w:rFonts w:hint="eastAsia" w:ascii="宋体" w:hAnsi="宋体"/>
                <w:bCs/>
                <w:szCs w:val="21"/>
              </w:rPr>
              <w:t>由各学院根据学科专业特色、研究方向开设，并设定具体修读要求</w:t>
            </w:r>
          </w:p>
        </w:tc>
      </w:tr>
      <w:tr w14:paraId="0A5A9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blCellSpacing w:w="0" w:type="dxa"/>
          <w:jc w:val="center"/>
        </w:trPr>
        <w:tc>
          <w:tcPr>
            <w:tcW w:w="1480" w:type="dxa"/>
            <w:noWrap w:val="0"/>
            <w:vAlign w:val="center"/>
          </w:tcPr>
          <w:p w14:paraId="70C0ED4B">
            <w:pPr>
              <w:widowControl/>
              <w:spacing w:line="560" w:lineRule="exact"/>
              <w:rPr>
                <w:rFonts w:hint="eastAsia" w:ascii="宋体" w:hAnsi="宋体"/>
                <w:bCs/>
                <w:szCs w:val="21"/>
              </w:rPr>
            </w:pPr>
            <w:r>
              <w:rPr>
                <w:rFonts w:hint="eastAsia" w:ascii="宋体" w:hAnsi="宋体"/>
                <w:bCs/>
                <w:szCs w:val="21"/>
              </w:rPr>
              <w:t>专业课</w:t>
            </w:r>
          </w:p>
        </w:tc>
        <w:tc>
          <w:tcPr>
            <w:tcW w:w="2000" w:type="dxa"/>
            <w:noWrap w:val="0"/>
            <w:vAlign w:val="center"/>
          </w:tcPr>
          <w:p w14:paraId="07A41533">
            <w:pPr>
              <w:widowControl/>
              <w:spacing w:line="560" w:lineRule="exact"/>
              <w:jc w:val="center"/>
              <w:rPr>
                <w:rFonts w:hint="eastAsia" w:ascii="宋体" w:hAnsi="宋体"/>
                <w:bCs/>
                <w:szCs w:val="21"/>
              </w:rPr>
            </w:pPr>
            <w:r>
              <w:rPr>
                <w:rFonts w:hint="eastAsia" w:ascii="宋体" w:hAnsi="宋体"/>
                <w:bCs/>
                <w:szCs w:val="21"/>
              </w:rPr>
              <w:t>各专业及研究方向课程</w:t>
            </w:r>
          </w:p>
        </w:tc>
        <w:tc>
          <w:tcPr>
            <w:tcW w:w="1223" w:type="dxa"/>
            <w:vMerge w:val="continue"/>
            <w:noWrap w:val="0"/>
            <w:vAlign w:val="center"/>
          </w:tcPr>
          <w:p w14:paraId="2505C3CD">
            <w:pPr>
              <w:widowControl/>
              <w:spacing w:line="560" w:lineRule="exact"/>
              <w:ind w:firstLine="420"/>
              <w:jc w:val="center"/>
              <w:rPr>
                <w:rFonts w:hint="eastAsia" w:ascii="宋体" w:hAnsi="宋体"/>
                <w:bCs/>
                <w:szCs w:val="21"/>
              </w:rPr>
            </w:pPr>
          </w:p>
        </w:tc>
        <w:tc>
          <w:tcPr>
            <w:tcW w:w="1065" w:type="dxa"/>
            <w:vMerge w:val="continue"/>
            <w:noWrap w:val="0"/>
            <w:vAlign w:val="center"/>
          </w:tcPr>
          <w:p w14:paraId="38D8C7AC">
            <w:pPr>
              <w:widowControl/>
              <w:spacing w:line="560" w:lineRule="exact"/>
              <w:ind w:firstLine="420"/>
              <w:jc w:val="center"/>
              <w:rPr>
                <w:rFonts w:hint="eastAsia" w:ascii="宋体" w:hAnsi="宋体"/>
                <w:bCs/>
                <w:szCs w:val="21"/>
              </w:rPr>
            </w:pPr>
          </w:p>
        </w:tc>
        <w:tc>
          <w:tcPr>
            <w:tcW w:w="1292" w:type="dxa"/>
            <w:vMerge w:val="continue"/>
            <w:noWrap w:val="0"/>
            <w:vAlign w:val="center"/>
          </w:tcPr>
          <w:p w14:paraId="483DBF8C">
            <w:pPr>
              <w:widowControl/>
              <w:spacing w:line="560" w:lineRule="exact"/>
              <w:ind w:firstLine="420"/>
              <w:jc w:val="center"/>
              <w:rPr>
                <w:rFonts w:hint="eastAsia" w:ascii="宋体" w:hAnsi="宋体"/>
                <w:bCs/>
                <w:szCs w:val="21"/>
              </w:rPr>
            </w:pPr>
          </w:p>
        </w:tc>
        <w:tc>
          <w:tcPr>
            <w:tcW w:w="2045" w:type="dxa"/>
            <w:vMerge w:val="continue"/>
            <w:noWrap w:val="0"/>
            <w:vAlign w:val="center"/>
          </w:tcPr>
          <w:p w14:paraId="4253387E">
            <w:pPr>
              <w:widowControl/>
              <w:spacing w:line="560" w:lineRule="exact"/>
              <w:ind w:firstLine="420"/>
              <w:jc w:val="center"/>
              <w:rPr>
                <w:rFonts w:hint="eastAsia" w:ascii="宋体" w:hAnsi="宋体"/>
                <w:bCs/>
                <w:szCs w:val="21"/>
              </w:rPr>
            </w:pPr>
          </w:p>
        </w:tc>
      </w:tr>
      <w:tr w14:paraId="79CF7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blCellSpacing w:w="0" w:type="dxa"/>
          <w:jc w:val="center"/>
        </w:trPr>
        <w:tc>
          <w:tcPr>
            <w:tcW w:w="1480" w:type="dxa"/>
            <w:noWrap w:val="0"/>
            <w:vAlign w:val="center"/>
          </w:tcPr>
          <w:p w14:paraId="69244A48">
            <w:pPr>
              <w:spacing w:line="560" w:lineRule="exact"/>
              <w:rPr>
                <w:rFonts w:hint="eastAsia" w:ascii="宋体" w:hAnsi="宋体"/>
                <w:bCs/>
                <w:szCs w:val="21"/>
              </w:rPr>
            </w:pPr>
            <w:r>
              <w:rPr>
                <w:rFonts w:hint="eastAsia" w:ascii="宋体" w:hAnsi="宋体"/>
                <w:bCs/>
                <w:szCs w:val="21"/>
              </w:rPr>
              <w:t>公共课、学科基础课和专业课学分总计</w:t>
            </w:r>
          </w:p>
        </w:tc>
        <w:tc>
          <w:tcPr>
            <w:tcW w:w="2000" w:type="dxa"/>
            <w:noWrap w:val="0"/>
            <w:vAlign w:val="center"/>
          </w:tcPr>
          <w:p w14:paraId="555A781B">
            <w:pPr>
              <w:widowControl/>
              <w:spacing w:line="560" w:lineRule="exact"/>
              <w:jc w:val="center"/>
              <w:rPr>
                <w:rFonts w:hint="eastAsia" w:ascii="宋体" w:hAnsi="宋体"/>
                <w:bCs/>
                <w:szCs w:val="21"/>
              </w:rPr>
            </w:pPr>
            <w:r>
              <w:rPr>
                <w:rFonts w:hint="eastAsia" w:ascii="宋体" w:hAnsi="宋体"/>
                <w:bCs/>
                <w:szCs w:val="21"/>
              </w:rPr>
              <w:t>学术型硕士</w:t>
            </w:r>
          </w:p>
        </w:tc>
        <w:tc>
          <w:tcPr>
            <w:tcW w:w="1223" w:type="dxa"/>
            <w:noWrap w:val="0"/>
            <w:vAlign w:val="center"/>
          </w:tcPr>
          <w:p w14:paraId="1D63C025">
            <w:pPr>
              <w:widowControl/>
              <w:spacing w:line="560" w:lineRule="exact"/>
              <w:ind w:firstLine="420"/>
              <w:rPr>
                <w:rFonts w:hint="eastAsia" w:ascii="宋体" w:hAnsi="宋体"/>
                <w:bCs/>
                <w:szCs w:val="21"/>
              </w:rPr>
            </w:pPr>
            <w:r>
              <w:rPr>
                <w:rFonts w:hint="eastAsia" w:ascii="宋体" w:hAnsi="宋体"/>
                <w:bCs/>
                <w:szCs w:val="21"/>
              </w:rPr>
              <w:t>≥34</w:t>
            </w:r>
          </w:p>
        </w:tc>
        <w:tc>
          <w:tcPr>
            <w:tcW w:w="1065" w:type="dxa"/>
            <w:noWrap w:val="0"/>
            <w:vAlign w:val="center"/>
          </w:tcPr>
          <w:p w14:paraId="51976318">
            <w:pPr>
              <w:widowControl/>
              <w:spacing w:line="560" w:lineRule="exact"/>
              <w:ind w:firstLine="210"/>
              <w:rPr>
                <w:rFonts w:hint="eastAsia" w:ascii="宋体" w:hAnsi="宋体"/>
                <w:bCs/>
                <w:szCs w:val="21"/>
              </w:rPr>
            </w:pPr>
            <w:r>
              <w:rPr>
                <w:rFonts w:hint="eastAsia" w:ascii="宋体" w:hAnsi="宋体"/>
                <w:bCs/>
                <w:szCs w:val="21"/>
              </w:rPr>
              <w:t>≥544</w:t>
            </w:r>
          </w:p>
        </w:tc>
        <w:tc>
          <w:tcPr>
            <w:tcW w:w="1292" w:type="dxa"/>
            <w:noWrap w:val="0"/>
            <w:vAlign w:val="center"/>
          </w:tcPr>
          <w:p w14:paraId="01FA32F5">
            <w:pPr>
              <w:widowControl/>
              <w:spacing w:line="560" w:lineRule="exact"/>
              <w:rPr>
                <w:rFonts w:hint="eastAsia" w:ascii="宋体" w:hAnsi="宋体"/>
                <w:bCs/>
                <w:szCs w:val="21"/>
              </w:rPr>
            </w:pPr>
            <w:r>
              <w:rPr>
                <w:rFonts w:hint="eastAsia" w:ascii="宋体" w:hAnsi="宋体"/>
                <w:bCs/>
                <w:szCs w:val="21"/>
              </w:rPr>
              <w:t>2年内完成全部课程学习</w:t>
            </w:r>
          </w:p>
        </w:tc>
        <w:tc>
          <w:tcPr>
            <w:tcW w:w="2045" w:type="dxa"/>
            <w:noWrap w:val="0"/>
            <w:vAlign w:val="center"/>
          </w:tcPr>
          <w:p w14:paraId="7326CFAC">
            <w:pPr>
              <w:widowControl/>
              <w:spacing w:line="560" w:lineRule="exact"/>
              <w:ind w:firstLine="420"/>
              <w:jc w:val="center"/>
              <w:rPr>
                <w:rFonts w:hint="eastAsia" w:ascii="宋体" w:hAnsi="宋体"/>
                <w:bCs/>
                <w:szCs w:val="21"/>
              </w:rPr>
            </w:pPr>
          </w:p>
        </w:tc>
      </w:tr>
    </w:tbl>
    <w:p w14:paraId="1867CB62">
      <w:pPr>
        <w:spacing w:line="360" w:lineRule="auto"/>
        <w:rPr>
          <w:rFonts w:hint="eastAsia" w:ascii="宋体" w:hAnsi="宋体"/>
          <w:sz w:val="24"/>
        </w:rPr>
      </w:pPr>
      <w:r>
        <w:rPr>
          <w:rFonts w:hint="eastAsia" w:ascii="宋体" w:hAnsi="宋体"/>
          <w:b/>
          <w:bCs/>
          <w:sz w:val="24"/>
        </w:rPr>
        <w:t>4.博士研究生（不含留学生）：</w:t>
      </w:r>
      <w:r>
        <w:rPr>
          <w:rFonts w:hint="eastAsia" w:ascii="宋体" w:hAnsi="宋体"/>
          <w:sz w:val="24"/>
        </w:rPr>
        <w:t>总学分≥32学分，其中学位课学分≥25学分，非学位课学分≥2学分，必修环节5学分。</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1980"/>
        <w:gridCol w:w="1080"/>
        <w:gridCol w:w="1260"/>
        <w:gridCol w:w="1440"/>
        <w:gridCol w:w="1080"/>
      </w:tblGrid>
      <w:tr w14:paraId="36341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14:paraId="36D74A3F">
            <w:pPr>
              <w:widowControl/>
              <w:spacing w:line="500" w:lineRule="exact"/>
              <w:jc w:val="center"/>
              <w:rPr>
                <w:rFonts w:hint="eastAsia" w:ascii="黑体" w:hAnsi="黑体" w:eastAsia="黑体" w:cs="仿宋"/>
                <w:szCs w:val="21"/>
                <w:lang w:bidi="ar"/>
              </w:rPr>
            </w:pPr>
            <w:r>
              <w:rPr>
                <w:rFonts w:hint="eastAsia" w:ascii="黑体" w:hAnsi="黑体" w:eastAsia="黑体"/>
                <w:b/>
                <w:szCs w:val="21"/>
              </w:rPr>
              <w:t>课程性质</w:t>
            </w:r>
          </w:p>
        </w:tc>
        <w:tc>
          <w:tcPr>
            <w:tcW w:w="1980" w:type="dxa"/>
            <w:noWrap w:val="0"/>
            <w:vAlign w:val="center"/>
          </w:tcPr>
          <w:p w14:paraId="11E4C14C">
            <w:pPr>
              <w:widowControl/>
              <w:spacing w:line="500" w:lineRule="exact"/>
              <w:jc w:val="center"/>
              <w:rPr>
                <w:rFonts w:hint="eastAsia" w:ascii="黑体" w:hAnsi="黑体" w:eastAsia="黑体" w:cs="仿宋"/>
                <w:szCs w:val="21"/>
                <w:lang w:bidi="ar"/>
              </w:rPr>
            </w:pPr>
            <w:r>
              <w:rPr>
                <w:rFonts w:hint="eastAsia" w:ascii="黑体" w:hAnsi="黑体" w:eastAsia="黑体"/>
                <w:b/>
                <w:szCs w:val="21"/>
              </w:rPr>
              <w:t>课程名称</w:t>
            </w:r>
          </w:p>
        </w:tc>
        <w:tc>
          <w:tcPr>
            <w:tcW w:w="1080" w:type="dxa"/>
            <w:noWrap w:val="0"/>
            <w:vAlign w:val="center"/>
          </w:tcPr>
          <w:p w14:paraId="6779A586">
            <w:pPr>
              <w:widowControl/>
              <w:spacing w:line="500" w:lineRule="exact"/>
              <w:jc w:val="center"/>
              <w:rPr>
                <w:rFonts w:hint="eastAsia" w:ascii="黑体" w:hAnsi="黑体" w:eastAsia="黑体" w:cs="仿宋"/>
                <w:szCs w:val="21"/>
                <w:lang w:bidi="ar"/>
              </w:rPr>
            </w:pPr>
            <w:r>
              <w:rPr>
                <w:rFonts w:hint="eastAsia" w:ascii="黑体" w:hAnsi="黑体" w:eastAsia="黑体"/>
                <w:b/>
                <w:szCs w:val="21"/>
              </w:rPr>
              <w:t>总学分</w:t>
            </w:r>
          </w:p>
        </w:tc>
        <w:tc>
          <w:tcPr>
            <w:tcW w:w="1260" w:type="dxa"/>
            <w:noWrap w:val="0"/>
            <w:vAlign w:val="center"/>
          </w:tcPr>
          <w:p w14:paraId="02CAD643">
            <w:pPr>
              <w:widowControl/>
              <w:spacing w:line="500" w:lineRule="exact"/>
              <w:jc w:val="center"/>
              <w:rPr>
                <w:rFonts w:hint="eastAsia" w:ascii="黑体" w:hAnsi="黑体" w:eastAsia="黑体" w:cs="仿宋"/>
                <w:szCs w:val="21"/>
                <w:lang w:bidi="ar"/>
              </w:rPr>
            </w:pPr>
            <w:r>
              <w:rPr>
                <w:rFonts w:hint="eastAsia" w:ascii="黑体" w:hAnsi="黑体" w:eastAsia="黑体"/>
                <w:b/>
                <w:szCs w:val="21"/>
              </w:rPr>
              <w:t>总学时</w:t>
            </w:r>
          </w:p>
        </w:tc>
        <w:tc>
          <w:tcPr>
            <w:tcW w:w="1440" w:type="dxa"/>
            <w:noWrap w:val="0"/>
            <w:vAlign w:val="center"/>
          </w:tcPr>
          <w:p w14:paraId="02419257">
            <w:pPr>
              <w:widowControl/>
              <w:spacing w:line="500" w:lineRule="exact"/>
              <w:jc w:val="center"/>
              <w:rPr>
                <w:rFonts w:hint="eastAsia" w:ascii="黑体" w:hAnsi="黑体" w:eastAsia="黑体" w:cs="仿宋"/>
                <w:szCs w:val="21"/>
                <w:lang w:bidi="ar"/>
              </w:rPr>
            </w:pPr>
            <w:r>
              <w:rPr>
                <w:rFonts w:hint="eastAsia" w:ascii="黑体" w:hAnsi="黑体" w:eastAsia="黑体"/>
                <w:b/>
                <w:szCs w:val="21"/>
              </w:rPr>
              <w:t>开课学期</w:t>
            </w:r>
          </w:p>
        </w:tc>
        <w:tc>
          <w:tcPr>
            <w:tcW w:w="1080" w:type="dxa"/>
            <w:noWrap w:val="0"/>
            <w:vAlign w:val="center"/>
          </w:tcPr>
          <w:p w14:paraId="246A0DAE">
            <w:pPr>
              <w:widowControl/>
              <w:spacing w:line="500" w:lineRule="exact"/>
              <w:jc w:val="center"/>
              <w:rPr>
                <w:rFonts w:hint="eastAsia" w:ascii="黑体" w:hAnsi="黑体" w:eastAsia="黑体" w:cs="仿宋"/>
                <w:szCs w:val="21"/>
                <w:lang w:bidi="ar"/>
              </w:rPr>
            </w:pPr>
            <w:r>
              <w:rPr>
                <w:rFonts w:hint="eastAsia" w:ascii="黑体" w:hAnsi="黑体" w:eastAsia="黑体"/>
                <w:b/>
                <w:szCs w:val="21"/>
              </w:rPr>
              <w:t>备注</w:t>
            </w:r>
          </w:p>
        </w:tc>
      </w:tr>
      <w:tr w14:paraId="740DD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restart"/>
            <w:noWrap w:val="0"/>
            <w:vAlign w:val="center"/>
          </w:tcPr>
          <w:p w14:paraId="14687AE7">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公共课（必修）</w:t>
            </w:r>
          </w:p>
        </w:tc>
        <w:tc>
          <w:tcPr>
            <w:tcW w:w="1980" w:type="dxa"/>
            <w:noWrap w:val="0"/>
            <w:vAlign w:val="top"/>
          </w:tcPr>
          <w:p w14:paraId="78993B3D">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bCs/>
                <w:szCs w:val="21"/>
              </w:rPr>
              <w:t>第一外国语</w:t>
            </w:r>
          </w:p>
        </w:tc>
        <w:tc>
          <w:tcPr>
            <w:tcW w:w="1080" w:type="dxa"/>
            <w:noWrap w:val="0"/>
            <w:vAlign w:val="center"/>
          </w:tcPr>
          <w:p w14:paraId="3B82F093">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60" w:type="dxa"/>
            <w:noWrap w:val="0"/>
            <w:vAlign w:val="center"/>
          </w:tcPr>
          <w:p w14:paraId="40B9D408">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40" w:type="dxa"/>
            <w:noWrap w:val="0"/>
            <w:vAlign w:val="center"/>
          </w:tcPr>
          <w:p w14:paraId="685583E3">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1</w:t>
            </w:r>
          </w:p>
        </w:tc>
        <w:tc>
          <w:tcPr>
            <w:tcW w:w="1080" w:type="dxa"/>
            <w:vMerge w:val="restart"/>
            <w:noWrap w:val="0"/>
            <w:vAlign w:val="top"/>
          </w:tcPr>
          <w:p w14:paraId="0DFB2749">
            <w:pPr>
              <w:widowControl/>
              <w:spacing w:before="100" w:beforeAutospacing="1" w:after="100" w:afterAutospacing="1" w:line="500" w:lineRule="exact"/>
              <w:jc w:val="left"/>
              <w:rPr>
                <w:rFonts w:hint="eastAsia" w:ascii="宋体" w:hAnsi="宋体" w:cs="仿宋"/>
                <w:szCs w:val="21"/>
                <w:lang w:bidi="ar"/>
              </w:rPr>
            </w:pPr>
          </w:p>
          <w:p w14:paraId="41DA55C1">
            <w:pPr>
              <w:widowControl/>
              <w:spacing w:before="100" w:beforeAutospacing="1" w:after="100" w:afterAutospacing="1" w:line="500" w:lineRule="exact"/>
              <w:ind w:firstLine="210"/>
              <w:jc w:val="left"/>
              <w:rPr>
                <w:rFonts w:hint="eastAsia" w:ascii="宋体" w:hAnsi="宋体" w:cs="仿宋"/>
                <w:szCs w:val="21"/>
                <w:lang w:bidi="ar"/>
              </w:rPr>
            </w:pPr>
            <w:r>
              <w:rPr>
                <w:rFonts w:hint="eastAsia" w:ascii="宋体" w:hAnsi="宋体" w:cs="仿宋"/>
                <w:szCs w:val="21"/>
                <w:lang w:bidi="ar"/>
              </w:rPr>
              <w:t>必修</w:t>
            </w:r>
          </w:p>
        </w:tc>
      </w:tr>
      <w:tr w14:paraId="57EE1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noWrap w:val="0"/>
            <w:vAlign w:val="top"/>
          </w:tcPr>
          <w:p w14:paraId="55D1F3ED">
            <w:pPr>
              <w:widowControl/>
              <w:spacing w:before="100" w:beforeAutospacing="1" w:after="100" w:afterAutospacing="1" w:line="500" w:lineRule="exact"/>
              <w:jc w:val="left"/>
              <w:rPr>
                <w:rFonts w:hint="eastAsia" w:ascii="宋体" w:hAnsi="宋体" w:cs="仿宋"/>
                <w:szCs w:val="21"/>
                <w:lang w:bidi="ar"/>
              </w:rPr>
            </w:pPr>
          </w:p>
        </w:tc>
        <w:tc>
          <w:tcPr>
            <w:tcW w:w="1980" w:type="dxa"/>
            <w:noWrap w:val="0"/>
            <w:vAlign w:val="top"/>
          </w:tcPr>
          <w:p w14:paraId="16142E91">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bCs/>
                <w:szCs w:val="21"/>
              </w:rPr>
              <w:t>中国化马克思主义与当代</w:t>
            </w:r>
          </w:p>
        </w:tc>
        <w:tc>
          <w:tcPr>
            <w:tcW w:w="1080" w:type="dxa"/>
            <w:noWrap w:val="0"/>
            <w:vAlign w:val="center"/>
          </w:tcPr>
          <w:p w14:paraId="7E305E4D">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60" w:type="dxa"/>
            <w:noWrap w:val="0"/>
            <w:vAlign w:val="center"/>
          </w:tcPr>
          <w:p w14:paraId="2D847919">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40" w:type="dxa"/>
            <w:noWrap w:val="0"/>
            <w:vAlign w:val="center"/>
          </w:tcPr>
          <w:p w14:paraId="71724C6F">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1</w:t>
            </w:r>
          </w:p>
        </w:tc>
        <w:tc>
          <w:tcPr>
            <w:tcW w:w="1080" w:type="dxa"/>
            <w:vMerge w:val="continue"/>
            <w:noWrap w:val="0"/>
            <w:vAlign w:val="top"/>
          </w:tcPr>
          <w:p w14:paraId="14B4D28C">
            <w:pPr>
              <w:widowControl/>
              <w:spacing w:before="100" w:beforeAutospacing="1" w:after="100" w:afterAutospacing="1" w:line="500" w:lineRule="exact"/>
              <w:jc w:val="left"/>
              <w:rPr>
                <w:rFonts w:hint="eastAsia" w:ascii="宋体" w:hAnsi="宋体" w:cs="仿宋"/>
                <w:szCs w:val="21"/>
                <w:lang w:bidi="ar"/>
              </w:rPr>
            </w:pPr>
          </w:p>
        </w:tc>
      </w:tr>
      <w:tr w14:paraId="31521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noWrap w:val="0"/>
            <w:vAlign w:val="top"/>
          </w:tcPr>
          <w:p w14:paraId="26A03B31">
            <w:pPr>
              <w:widowControl/>
              <w:spacing w:before="100" w:beforeAutospacing="1" w:after="100" w:afterAutospacing="1" w:line="500" w:lineRule="exact"/>
              <w:jc w:val="left"/>
              <w:rPr>
                <w:rFonts w:hint="eastAsia" w:ascii="宋体" w:hAnsi="宋体" w:cs="仿宋"/>
                <w:szCs w:val="21"/>
                <w:lang w:bidi="ar"/>
              </w:rPr>
            </w:pPr>
          </w:p>
        </w:tc>
        <w:tc>
          <w:tcPr>
            <w:tcW w:w="1980" w:type="dxa"/>
            <w:noWrap w:val="0"/>
            <w:vAlign w:val="top"/>
          </w:tcPr>
          <w:p w14:paraId="79678FCB">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bCs/>
                <w:szCs w:val="21"/>
              </w:rPr>
              <w:t>马克思主</w:t>
            </w:r>
            <w:r>
              <w:rPr>
                <w:rFonts w:hint="eastAsia" w:ascii="宋体" w:hAnsi="宋体"/>
                <w:bCs/>
                <w:szCs w:val="21"/>
                <w:lang w:bidi="ar"/>
              </w:rPr>
              <w:t>义经典著作选读</w:t>
            </w:r>
          </w:p>
        </w:tc>
        <w:tc>
          <w:tcPr>
            <w:tcW w:w="1080" w:type="dxa"/>
            <w:noWrap w:val="0"/>
            <w:vAlign w:val="center"/>
          </w:tcPr>
          <w:p w14:paraId="66C34285">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1</w:t>
            </w:r>
          </w:p>
        </w:tc>
        <w:tc>
          <w:tcPr>
            <w:tcW w:w="1260" w:type="dxa"/>
            <w:noWrap w:val="0"/>
            <w:vAlign w:val="center"/>
          </w:tcPr>
          <w:p w14:paraId="33C0BDD9">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16</w:t>
            </w:r>
          </w:p>
        </w:tc>
        <w:tc>
          <w:tcPr>
            <w:tcW w:w="1440" w:type="dxa"/>
            <w:noWrap w:val="0"/>
            <w:vAlign w:val="center"/>
          </w:tcPr>
          <w:p w14:paraId="392E714F">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080" w:type="dxa"/>
            <w:vMerge w:val="continue"/>
            <w:noWrap w:val="0"/>
            <w:vAlign w:val="top"/>
          </w:tcPr>
          <w:p w14:paraId="3487D016">
            <w:pPr>
              <w:widowControl/>
              <w:spacing w:before="100" w:beforeAutospacing="1" w:after="100" w:afterAutospacing="1" w:line="500" w:lineRule="exact"/>
              <w:jc w:val="left"/>
              <w:rPr>
                <w:rFonts w:hint="eastAsia" w:ascii="宋体" w:hAnsi="宋体" w:cs="仿宋"/>
                <w:szCs w:val="21"/>
                <w:lang w:bidi="ar"/>
              </w:rPr>
            </w:pPr>
          </w:p>
        </w:tc>
      </w:tr>
      <w:tr w14:paraId="502D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14:paraId="6AD647EB">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公共课（选修）</w:t>
            </w:r>
          </w:p>
        </w:tc>
        <w:tc>
          <w:tcPr>
            <w:tcW w:w="1980" w:type="dxa"/>
            <w:noWrap w:val="0"/>
            <w:vAlign w:val="top"/>
          </w:tcPr>
          <w:p w14:paraId="043C2217">
            <w:pPr>
              <w:widowControl/>
              <w:spacing w:before="100" w:beforeAutospacing="1" w:after="100" w:afterAutospacing="1" w:line="500" w:lineRule="exact"/>
              <w:jc w:val="left"/>
              <w:rPr>
                <w:rFonts w:hint="eastAsia" w:ascii="宋体" w:hAnsi="宋体"/>
                <w:bCs/>
                <w:szCs w:val="21"/>
              </w:rPr>
            </w:pPr>
          </w:p>
        </w:tc>
        <w:tc>
          <w:tcPr>
            <w:tcW w:w="1080" w:type="dxa"/>
            <w:noWrap w:val="0"/>
            <w:vAlign w:val="center"/>
          </w:tcPr>
          <w:p w14:paraId="6AAC3AD5">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60" w:type="dxa"/>
            <w:noWrap w:val="0"/>
            <w:vAlign w:val="center"/>
          </w:tcPr>
          <w:p w14:paraId="5B30FB9C">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40" w:type="dxa"/>
            <w:noWrap w:val="0"/>
            <w:vAlign w:val="top"/>
          </w:tcPr>
          <w:p w14:paraId="40E6FE37">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根据当学期开设课程选修</w:t>
            </w:r>
          </w:p>
        </w:tc>
        <w:tc>
          <w:tcPr>
            <w:tcW w:w="1080" w:type="dxa"/>
            <w:noWrap w:val="0"/>
            <w:vAlign w:val="top"/>
          </w:tcPr>
          <w:p w14:paraId="7BD2F0AF">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在导师的指导下选修</w:t>
            </w:r>
          </w:p>
        </w:tc>
      </w:tr>
      <w:tr w14:paraId="6E35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1728" w:type="dxa"/>
            <w:vMerge w:val="restart"/>
            <w:noWrap w:val="0"/>
            <w:vAlign w:val="center"/>
          </w:tcPr>
          <w:p w14:paraId="7FB21EE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学科基础课</w:t>
            </w:r>
          </w:p>
        </w:tc>
        <w:tc>
          <w:tcPr>
            <w:tcW w:w="1980" w:type="dxa"/>
            <w:noWrap w:val="0"/>
            <w:vAlign w:val="top"/>
          </w:tcPr>
          <w:p w14:paraId="0DA3BEB4">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高级微观经济学</w:t>
            </w:r>
          </w:p>
        </w:tc>
        <w:tc>
          <w:tcPr>
            <w:tcW w:w="1080" w:type="dxa"/>
            <w:noWrap w:val="0"/>
            <w:vAlign w:val="center"/>
          </w:tcPr>
          <w:p w14:paraId="1C36C93D">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60" w:type="dxa"/>
            <w:noWrap w:val="0"/>
            <w:vAlign w:val="center"/>
          </w:tcPr>
          <w:p w14:paraId="36799708">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40" w:type="dxa"/>
            <w:noWrap w:val="0"/>
            <w:vAlign w:val="top"/>
          </w:tcPr>
          <w:p w14:paraId="73BA5280">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080" w:type="dxa"/>
            <w:vMerge w:val="restart"/>
            <w:noWrap w:val="0"/>
            <w:vAlign w:val="top"/>
          </w:tcPr>
          <w:p w14:paraId="2CA36BB5">
            <w:pPr>
              <w:widowControl/>
              <w:spacing w:before="100" w:beforeAutospacing="1" w:after="100" w:afterAutospacing="1" w:line="500" w:lineRule="exact"/>
              <w:jc w:val="left"/>
              <w:rPr>
                <w:rFonts w:hint="eastAsia" w:ascii="宋体" w:hAnsi="宋体"/>
                <w:bCs/>
                <w:szCs w:val="21"/>
              </w:rPr>
            </w:pPr>
            <w:r>
              <w:rPr>
                <w:rFonts w:hint="eastAsia" w:ascii="宋体" w:hAnsi="宋体" w:cs="仿宋"/>
                <w:szCs w:val="21"/>
                <w:lang w:bidi="ar"/>
              </w:rPr>
              <w:t>学院（中心）将博士研究生中期考核相关课程纳入学科基础课，由研究生院统一组织开课和考核。</w:t>
            </w:r>
          </w:p>
        </w:tc>
      </w:tr>
      <w:tr w14:paraId="3D4DA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728" w:type="dxa"/>
            <w:vMerge w:val="continue"/>
            <w:noWrap w:val="0"/>
            <w:vAlign w:val="center"/>
          </w:tcPr>
          <w:p w14:paraId="75855A38">
            <w:pPr>
              <w:widowControl/>
              <w:spacing w:before="100" w:beforeAutospacing="1" w:after="100" w:afterAutospacing="1" w:line="500" w:lineRule="exact"/>
              <w:jc w:val="center"/>
              <w:rPr>
                <w:rFonts w:hint="eastAsia" w:ascii="宋体" w:hAnsi="宋体" w:cs="仿宋"/>
                <w:szCs w:val="21"/>
                <w:lang w:bidi="ar"/>
              </w:rPr>
            </w:pPr>
          </w:p>
        </w:tc>
        <w:tc>
          <w:tcPr>
            <w:tcW w:w="1980" w:type="dxa"/>
            <w:noWrap w:val="0"/>
            <w:vAlign w:val="top"/>
          </w:tcPr>
          <w:p w14:paraId="13F61E49">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高级宏观经济学</w:t>
            </w:r>
          </w:p>
        </w:tc>
        <w:tc>
          <w:tcPr>
            <w:tcW w:w="1080" w:type="dxa"/>
            <w:noWrap w:val="0"/>
            <w:vAlign w:val="center"/>
          </w:tcPr>
          <w:p w14:paraId="655AE7A6">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60" w:type="dxa"/>
            <w:noWrap w:val="0"/>
            <w:vAlign w:val="center"/>
          </w:tcPr>
          <w:p w14:paraId="531FD766">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40" w:type="dxa"/>
            <w:noWrap w:val="0"/>
            <w:vAlign w:val="top"/>
          </w:tcPr>
          <w:p w14:paraId="7AA41877">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080" w:type="dxa"/>
            <w:vMerge w:val="continue"/>
            <w:noWrap w:val="0"/>
            <w:vAlign w:val="top"/>
          </w:tcPr>
          <w:p w14:paraId="1AF4AC9D">
            <w:pPr>
              <w:widowControl/>
              <w:spacing w:before="100" w:beforeAutospacing="1" w:after="100" w:afterAutospacing="1" w:line="500" w:lineRule="exact"/>
              <w:jc w:val="left"/>
              <w:rPr>
                <w:rFonts w:hint="eastAsia" w:ascii="宋体" w:hAnsi="宋体" w:cs="宋体"/>
                <w:szCs w:val="21"/>
              </w:rPr>
            </w:pPr>
          </w:p>
        </w:tc>
      </w:tr>
      <w:tr w14:paraId="57225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36039533">
            <w:pPr>
              <w:widowControl/>
              <w:spacing w:before="100" w:beforeAutospacing="1" w:after="100" w:afterAutospacing="1" w:line="500" w:lineRule="exact"/>
              <w:jc w:val="center"/>
              <w:rPr>
                <w:rFonts w:hint="eastAsia" w:ascii="宋体" w:hAnsi="宋体" w:cs="仿宋"/>
                <w:szCs w:val="21"/>
                <w:lang w:bidi="ar"/>
              </w:rPr>
            </w:pPr>
          </w:p>
        </w:tc>
        <w:tc>
          <w:tcPr>
            <w:tcW w:w="1980" w:type="dxa"/>
            <w:noWrap w:val="0"/>
            <w:vAlign w:val="top"/>
          </w:tcPr>
          <w:p w14:paraId="71150B4C">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高级计量经济学</w:t>
            </w:r>
          </w:p>
        </w:tc>
        <w:tc>
          <w:tcPr>
            <w:tcW w:w="1080" w:type="dxa"/>
            <w:noWrap w:val="0"/>
            <w:vAlign w:val="center"/>
          </w:tcPr>
          <w:p w14:paraId="2173E85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60" w:type="dxa"/>
            <w:noWrap w:val="0"/>
            <w:vAlign w:val="center"/>
          </w:tcPr>
          <w:p w14:paraId="715C24D9">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40" w:type="dxa"/>
            <w:noWrap w:val="0"/>
            <w:vAlign w:val="top"/>
          </w:tcPr>
          <w:p w14:paraId="686F2999">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080" w:type="dxa"/>
            <w:vMerge w:val="continue"/>
            <w:noWrap w:val="0"/>
            <w:vAlign w:val="top"/>
          </w:tcPr>
          <w:p w14:paraId="7EA98B63">
            <w:pPr>
              <w:widowControl/>
              <w:spacing w:before="100" w:beforeAutospacing="1" w:after="100" w:afterAutospacing="1" w:line="500" w:lineRule="exact"/>
              <w:jc w:val="left"/>
              <w:rPr>
                <w:rFonts w:hint="eastAsia" w:ascii="宋体" w:hAnsi="宋体" w:cs="宋体"/>
                <w:szCs w:val="21"/>
              </w:rPr>
            </w:pPr>
          </w:p>
        </w:tc>
      </w:tr>
      <w:tr w14:paraId="7894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0BCF4E1B">
            <w:pPr>
              <w:widowControl/>
              <w:spacing w:before="100" w:beforeAutospacing="1" w:after="100" w:afterAutospacing="1" w:line="500" w:lineRule="exact"/>
              <w:jc w:val="center"/>
              <w:rPr>
                <w:rFonts w:hint="eastAsia" w:ascii="宋体" w:hAnsi="宋体" w:cs="仿宋"/>
                <w:szCs w:val="21"/>
                <w:lang w:bidi="ar"/>
              </w:rPr>
            </w:pPr>
          </w:p>
        </w:tc>
        <w:tc>
          <w:tcPr>
            <w:tcW w:w="1980" w:type="dxa"/>
            <w:noWrap w:val="0"/>
            <w:vAlign w:val="top"/>
          </w:tcPr>
          <w:p w14:paraId="414DCF08">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研究方法</w:t>
            </w:r>
          </w:p>
        </w:tc>
        <w:tc>
          <w:tcPr>
            <w:tcW w:w="1080" w:type="dxa"/>
            <w:noWrap w:val="0"/>
            <w:vAlign w:val="center"/>
          </w:tcPr>
          <w:p w14:paraId="2A3F6540">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60" w:type="dxa"/>
            <w:noWrap w:val="0"/>
            <w:vAlign w:val="center"/>
          </w:tcPr>
          <w:p w14:paraId="2EC3A9A5">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40" w:type="dxa"/>
            <w:noWrap w:val="0"/>
            <w:vAlign w:val="top"/>
          </w:tcPr>
          <w:p w14:paraId="4311AD20">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080" w:type="dxa"/>
            <w:vMerge w:val="continue"/>
            <w:noWrap w:val="0"/>
            <w:vAlign w:val="top"/>
          </w:tcPr>
          <w:p w14:paraId="6B1D1322">
            <w:pPr>
              <w:widowControl/>
              <w:spacing w:before="100" w:beforeAutospacing="1" w:after="100" w:afterAutospacing="1" w:line="500" w:lineRule="exact"/>
              <w:jc w:val="left"/>
              <w:rPr>
                <w:rFonts w:hint="eastAsia" w:ascii="宋体" w:hAnsi="宋体" w:cs="宋体"/>
                <w:szCs w:val="21"/>
              </w:rPr>
            </w:pPr>
          </w:p>
        </w:tc>
      </w:tr>
      <w:tr w14:paraId="2E40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0E62526F">
            <w:pPr>
              <w:widowControl/>
              <w:spacing w:before="100" w:beforeAutospacing="1" w:after="100" w:afterAutospacing="1" w:line="500" w:lineRule="exact"/>
              <w:jc w:val="center"/>
              <w:rPr>
                <w:rFonts w:hint="eastAsia" w:ascii="宋体" w:hAnsi="宋体" w:cs="仿宋"/>
                <w:szCs w:val="21"/>
                <w:lang w:bidi="ar"/>
              </w:rPr>
            </w:pPr>
          </w:p>
        </w:tc>
        <w:tc>
          <w:tcPr>
            <w:tcW w:w="1980" w:type="dxa"/>
            <w:noWrap w:val="0"/>
            <w:vAlign w:val="top"/>
          </w:tcPr>
          <w:p w14:paraId="34B494B5">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一级学科经典文献</w:t>
            </w:r>
          </w:p>
        </w:tc>
        <w:tc>
          <w:tcPr>
            <w:tcW w:w="1080" w:type="dxa"/>
            <w:noWrap w:val="0"/>
            <w:vAlign w:val="center"/>
          </w:tcPr>
          <w:p w14:paraId="58FF3152">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60" w:type="dxa"/>
            <w:noWrap w:val="0"/>
            <w:vAlign w:val="center"/>
          </w:tcPr>
          <w:p w14:paraId="318E6CB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40" w:type="dxa"/>
            <w:noWrap w:val="0"/>
            <w:vAlign w:val="top"/>
          </w:tcPr>
          <w:p w14:paraId="5AB60A05">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080" w:type="dxa"/>
            <w:vMerge w:val="continue"/>
            <w:noWrap w:val="0"/>
            <w:vAlign w:val="top"/>
          </w:tcPr>
          <w:p w14:paraId="7422E753">
            <w:pPr>
              <w:widowControl/>
              <w:spacing w:before="100" w:beforeAutospacing="1" w:after="100" w:afterAutospacing="1" w:line="500" w:lineRule="exact"/>
              <w:jc w:val="left"/>
              <w:rPr>
                <w:rFonts w:hint="eastAsia" w:ascii="宋体" w:hAnsi="宋体" w:cs="宋体"/>
                <w:szCs w:val="21"/>
              </w:rPr>
            </w:pPr>
          </w:p>
        </w:tc>
      </w:tr>
      <w:tr w14:paraId="3C88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28" w:type="dxa"/>
            <w:vMerge w:val="restart"/>
            <w:noWrap w:val="0"/>
            <w:vAlign w:val="center"/>
          </w:tcPr>
          <w:p w14:paraId="48D3EE6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专业课</w:t>
            </w:r>
          </w:p>
        </w:tc>
        <w:tc>
          <w:tcPr>
            <w:tcW w:w="1980" w:type="dxa"/>
            <w:noWrap w:val="0"/>
            <w:vAlign w:val="top"/>
          </w:tcPr>
          <w:p w14:paraId="6B0E0994">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专业经典文献</w:t>
            </w:r>
          </w:p>
        </w:tc>
        <w:tc>
          <w:tcPr>
            <w:tcW w:w="1080" w:type="dxa"/>
            <w:noWrap w:val="0"/>
            <w:vAlign w:val="center"/>
          </w:tcPr>
          <w:p w14:paraId="517664A5">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60" w:type="dxa"/>
            <w:noWrap w:val="0"/>
            <w:vAlign w:val="center"/>
          </w:tcPr>
          <w:p w14:paraId="058EC2E0">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40" w:type="dxa"/>
            <w:vMerge w:val="restart"/>
            <w:noWrap w:val="0"/>
            <w:vAlign w:val="top"/>
          </w:tcPr>
          <w:p w14:paraId="26E16C55">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学院自行安排</w:t>
            </w:r>
          </w:p>
        </w:tc>
        <w:tc>
          <w:tcPr>
            <w:tcW w:w="1080" w:type="dxa"/>
            <w:vMerge w:val="continue"/>
            <w:noWrap w:val="0"/>
            <w:vAlign w:val="top"/>
          </w:tcPr>
          <w:p w14:paraId="5BB40426">
            <w:pPr>
              <w:widowControl/>
              <w:spacing w:before="100" w:beforeAutospacing="1" w:after="100" w:afterAutospacing="1" w:line="500" w:lineRule="exact"/>
              <w:jc w:val="left"/>
              <w:rPr>
                <w:rFonts w:hint="eastAsia" w:ascii="宋体" w:hAnsi="宋体" w:cs="宋体"/>
                <w:szCs w:val="21"/>
              </w:rPr>
            </w:pPr>
          </w:p>
        </w:tc>
      </w:tr>
      <w:tr w14:paraId="76656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28" w:type="dxa"/>
            <w:vMerge w:val="continue"/>
            <w:noWrap w:val="0"/>
            <w:vAlign w:val="center"/>
          </w:tcPr>
          <w:p w14:paraId="3B56F416">
            <w:pPr>
              <w:widowControl/>
              <w:spacing w:before="100" w:beforeAutospacing="1" w:after="100" w:afterAutospacing="1" w:line="500" w:lineRule="exact"/>
              <w:jc w:val="center"/>
              <w:rPr>
                <w:rFonts w:hint="eastAsia" w:ascii="宋体" w:hAnsi="宋体" w:cs="仿宋"/>
                <w:szCs w:val="21"/>
                <w:lang w:bidi="ar"/>
              </w:rPr>
            </w:pPr>
          </w:p>
        </w:tc>
        <w:tc>
          <w:tcPr>
            <w:tcW w:w="1980" w:type="dxa"/>
            <w:noWrap w:val="0"/>
            <w:vAlign w:val="top"/>
          </w:tcPr>
          <w:p w14:paraId="429B75EF">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其他专业课</w:t>
            </w:r>
          </w:p>
        </w:tc>
        <w:tc>
          <w:tcPr>
            <w:tcW w:w="1080" w:type="dxa"/>
            <w:noWrap w:val="0"/>
            <w:vAlign w:val="center"/>
          </w:tcPr>
          <w:p w14:paraId="54AA29D2">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w:t>
            </w:r>
          </w:p>
        </w:tc>
        <w:tc>
          <w:tcPr>
            <w:tcW w:w="1260" w:type="dxa"/>
            <w:noWrap w:val="0"/>
            <w:vAlign w:val="center"/>
          </w:tcPr>
          <w:p w14:paraId="73A97A90">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≥64</w:t>
            </w:r>
          </w:p>
        </w:tc>
        <w:tc>
          <w:tcPr>
            <w:tcW w:w="1440" w:type="dxa"/>
            <w:vMerge w:val="continue"/>
            <w:noWrap w:val="0"/>
            <w:vAlign w:val="top"/>
          </w:tcPr>
          <w:p w14:paraId="1B4151D2">
            <w:pPr>
              <w:widowControl/>
              <w:spacing w:before="100" w:beforeAutospacing="1" w:after="100" w:afterAutospacing="1" w:line="500" w:lineRule="exact"/>
              <w:jc w:val="left"/>
              <w:rPr>
                <w:rFonts w:hint="eastAsia" w:ascii="宋体" w:hAnsi="宋体" w:cs="仿宋"/>
                <w:szCs w:val="21"/>
                <w:lang w:bidi="ar"/>
              </w:rPr>
            </w:pPr>
          </w:p>
        </w:tc>
        <w:tc>
          <w:tcPr>
            <w:tcW w:w="1080" w:type="dxa"/>
            <w:vMerge w:val="continue"/>
            <w:noWrap w:val="0"/>
            <w:vAlign w:val="top"/>
          </w:tcPr>
          <w:p w14:paraId="7F1A9E15">
            <w:pPr>
              <w:widowControl/>
              <w:spacing w:before="100" w:beforeAutospacing="1" w:after="100" w:afterAutospacing="1" w:line="500" w:lineRule="exact"/>
              <w:jc w:val="left"/>
              <w:rPr>
                <w:rFonts w:hint="eastAsia" w:ascii="宋体" w:hAnsi="宋体" w:cs="宋体"/>
                <w:szCs w:val="21"/>
              </w:rPr>
            </w:pPr>
          </w:p>
        </w:tc>
      </w:tr>
      <w:tr w14:paraId="3CE7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728" w:type="dxa"/>
            <w:noWrap w:val="0"/>
            <w:vAlign w:val="center"/>
          </w:tcPr>
          <w:p w14:paraId="25EFC8A9">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bCs/>
                <w:szCs w:val="21"/>
              </w:rPr>
              <w:t>公共课、学科基础课和专业课</w:t>
            </w:r>
            <w:r>
              <w:rPr>
                <w:rFonts w:hint="eastAsia" w:ascii="宋体" w:hAnsi="宋体" w:cs="仿宋"/>
                <w:szCs w:val="21"/>
                <w:lang w:bidi="ar"/>
              </w:rPr>
              <w:t>学分总计</w:t>
            </w:r>
          </w:p>
        </w:tc>
        <w:tc>
          <w:tcPr>
            <w:tcW w:w="1980" w:type="dxa"/>
            <w:noWrap w:val="0"/>
            <w:vAlign w:val="top"/>
          </w:tcPr>
          <w:p w14:paraId="47F8A221">
            <w:pPr>
              <w:widowControl/>
              <w:spacing w:before="100" w:beforeAutospacing="1" w:after="100" w:afterAutospacing="1" w:line="500" w:lineRule="exact"/>
              <w:jc w:val="left"/>
              <w:rPr>
                <w:rFonts w:hint="eastAsia" w:ascii="宋体" w:hAnsi="宋体" w:cs="仿宋"/>
                <w:szCs w:val="21"/>
                <w:lang w:bidi="ar"/>
              </w:rPr>
            </w:pPr>
          </w:p>
        </w:tc>
        <w:tc>
          <w:tcPr>
            <w:tcW w:w="1080" w:type="dxa"/>
            <w:noWrap w:val="0"/>
            <w:vAlign w:val="top"/>
          </w:tcPr>
          <w:p w14:paraId="00D16C98">
            <w:pPr>
              <w:spacing w:before="100" w:beforeAutospacing="1" w:after="100" w:afterAutospacing="1" w:line="500" w:lineRule="exact"/>
              <w:ind w:firstLine="105"/>
              <w:jc w:val="left"/>
              <w:rPr>
                <w:rFonts w:hint="eastAsia" w:ascii="宋体" w:hAnsi="宋体" w:cs="仿宋"/>
                <w:szCs w:val="21"/>
                <w:lang w:bidi="ar"/>
              </w:rPr>
            </w:pPr>
            <w:r>
              <w:rPr>
                <w:rFonts w:hint="eastAsia" w:ascii="宋体" w:hAnsi="宋体" w:cs="仿宋"/>
                <w:szCs w:val="21"/>
                <w:lang w:bidi="ar"/>
              </w:rPr>
              <w:t>≥27</w:t>
            </w:r>
          </w:p>
        </w:tc>
        <w:tc>
          <w:tcPr>
            <w:tcW w:w="1260" w:type="dxa"/>
            <w:noWrap w:val="0"/>
            <w:vAlign w:val="top"/>
          </w:tcPr>
          <w:p w14:paraId="24F80489">
            <w:pPr>
              <w:widowControl/>
              <w:spacing w:before="100" w:beforeAutospacing="1" w:after="100" w:afterAutospacing="1" w:line="500" w:lineRule="exact"/>
              <w:ind w:firstLine="210"/>
              <w:jc w:val="left"/>
              <w:rPr>
                <w:rFonts w:hint="eastAsia" w:ascii="宋体" w:hAnsi="宋体" w:cs="仿宋"/>
                <w:szCs w:val="21"/>
                <w:lang w:bidi="ar"/>
              </w:rPr>
            </w:pPr>
            <w:r>
              <w:rPr>
                <w:rFonts w:hint="eastAsia" w:ascii="宋体" w:hAnsi="宋体" w:cs="仿宋"/>
                <w:szCs w:val="21"/>
                <w:lang w:bidi="ar"/>
              </w:rPr>
              <w:t>≥432</w:t>
            </w:r>
          </w:p>
        </w:tc>
        <w:tc>
          <w:tcPr>
            <w:tcW w:w="1440" w:type="dxa"/>
            <w:noWrap w:val="0"/>
            <w:vAlign w:val="top"/>
          </w:tcPr>
          <w:p w14:paraId="120E60CC">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2年内完成课程学习</w:t>
            </w:r>
          </w:p>
        </w:tc>
        <w:tc>
          <w:tcPr>
            <w:tcW w:w="1080" w:type="dxa"/>
            <w:noWrap w:val="0"/>
            <w:vAlign w:val="top"/>
          </w:tcPr>
          <w:p w14:paraId="5360D1FF">
            <w:pPr>
              <w:widowControl/>
              <w:spacing w:before="100" w:beforeAutospacing="1" w:after="100" w:afterAutospacing="1" w:line="500" w:lineRule="exact"/>
              <w:jc w:val="left"/>
              <w:rPr>
                <w:rFonts w:hint="eastAsia" w:ascii="宋体" w:hAnsi="宋体"/>
                <w:bCs/>
                <w:szCs w:val="21"/>
              </w:rPr>
            </w:pPr>
          </w:p>
        </w:tc>
      </w:tr>
      <w:tr w14:paraId="0E9FD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8" w:hRule="atLeast"/>
        </w:trPr>
        <w:tc>
          <w:tcPr>
            <w:tcW w:w="1728" w:type="dxa"/>
            <w:noWrap w:val="0"/>
            <w:vAlign w:val="center"/>
          </w:tcPr>
          <w:p w14:paraId="51997702">
            <w:pPr>
              <w:widowControl/>
              <w:spacing w:line="560" w:lineRule="exact"/>
              <w:rPr>
                <w:rFonts w:hint="eastAsia" w:ascii="宋体" w:hAnsi="宋体"/>
                <w:bCs/>
                <w:szCs w:val="21"/>
              </w:rPr>
            </w:pPr>
            <w:r>
              <w:rPr>
                <w:rFonts w:hint="eastAsia" w:ascii="宋体" w:hAnsi="宋体"/>
                <w:bCs/>
                <w:szCs w:val="21"/>
              </w:rPr>
              <w:t>必修环节</w:t>
            </w:r>
          </w:p>
        </w:tc>
        <w:tc>
          <w:tcPr>
            <w:tcW w:w="1980" w:type="dxa"/>
            <w:noWrap w:val="0"/>
            <w:vAlign w:val="center"/>
          </w:tcPr>
          <w:p w14:paraId="43465396">
            <w:pPr>
              <w:widowControl/>
              <w:spacing w:line="560" w:lineRule="exact"/>
              <w:jc w:val="center"/>
              <w:rPr>
                <w:rFonts w:hint="eastAsia" w:ascii="宋体" w:hAnsi="宋体" w:cs="仿宋"/>
                <w:szCs w:val="21"/>
                <w:lang w:bidi="ar"/>
              </w:rPr>
            </w:pPr>
          </w:p>
        </w:tc>
        <w:tc>
          <w:tcPr>
            <w:tcW w:w="1080" w:type="dxa"/>
            <w:noWrap w:val="0"/>
            <w:vAlign w:val="center"/>
          </w:tcPr>
          <w:p w14:paraId="62CB1934">
            <w:pPr>
              <w:widowControl/>
              <w:spacing w:line="560" w:lineRule="exact"/>
              <w:ind w:firstLine="210"/>
              <w:rPr>
                <w:rFonts w:hint="eastAsia" w:ascii="宋体" w:hAnsi="宋体" w:cs="仿宋"/>
                <w:szCs w:val="21"/>
                <w:lang w:bidi="ar"/>
              </w:rPr>
            </w:pPr>
            <w:r>
              <w:rPr>
                <w:rFonts w:hint="eastAsia" w:ascii="宋体" w:hAnsi="宋体"/>
                <w:bCs/>
                <w:szCs w:val="21"/>
              </w:rPr>
              <w:t xml:space="preserve">5学分  </w:t>
            </w:r>
          </w:p>
        </w:tc>
        <w:tc>
          <w:tcPr>
            <w:tcW w:w="1260" w:type="dxa"/>
            <w:noWrap w:val="0"/>
            <w:vAlign w:val="top"/>
          </w:tcPr>
          <w:p w14:paraId="6DAA6DC3">
            <w:pPr>
              <w:widowControl/>
              <w:spacing w:before="100" w:beforeAutospacing="1" w:after="100" w:afterAutospacing="1" w:line="500" w:lineRule="exact"/>
              <w:ind w:firstLine="210"/>
              <w:jc w:val="left"/>
              <w:rPr>
                <w:rFonts w:hint="eastAsia" w:ascii="宋体" w:hAnsi="宋体" w:cs="仿宋"/>
                <w:szCs w:val="21"/>
                <w:lang w:bidi="ar"/>
              </w:rPr>
            </w:pPr>
          </w:p>
        </w:tc>
        <w:tc>
          <w:tcPr>
            <w:tcW w:w="1440" w:type="dxa"/>
            <w:noWrap w:val="0"/>
            <w:vAlign w:val="top"/>
          </w:tcPr>
          <w:p w14:paraId="23E6DC4D">
            <w:pPr>
              <w:widowControl/>
              <w:spacing w:before="100" w:beforeAutospacing="1" w:after="100" w:afterAutospacing="1" w:line="500" w:lineRule="exact"/>
              <w:jc w:val="left"/>
              <w:rPr>
                <w:rFonts w:hint="eastAsia" w:ascii="宋体" w:hAnsi="宋体" w:cs="仿宋"/>
                <w:szCs w:val="21"/>
                <w:lang w:bidi="ar"/>
              </w:rPr>
            </w:pPr>
          </w:p>
        </w:tc>
        <w:tc>
          <w:tcPr>
            <w:tcW w:w="1080" w:type="dxa"/>
            <w:noWrap w:val="0"/>
            <w:vAlign w:val="top"/>
          </w:tcPr>
          <w:p w14:paraId="64615509">
            <w:pPr>
              <w:widowControl/>
              <w:spacing w:before="100" w:beforeAutospacing="1" w:after="100" w:afterAutospacing="1" w:line="500" w:lineRule="exact"/>
              <w:jc w:val="left"/>
              <w:rPr>
                <w:rFonts w:hint="eastAsia" w:ascii="宋体" w:hAnsi="宋体"/>
                <w:bCs/>
                <w:szCs w:val="21"/>
              </w:rPr>
            </w:pPr>
          </w:p>
        </w:tc>
      </w:tr>
    </w:tbl>
    <w:p w14:paraId="1E24CF71">
      <w:pPr>
        <w:spacing w:line="360" w:lineRule="auto"/>
        <w:rPr>
          <w:rFonts w:ascii="宋体" w:hAnsi="宋体"/>
          <w:sz w:val="24"/>
        </w:rPr>
      </w:pPr>
      <w:r>
        <w:rPr>
          <w:rFonts w:hint="eastAsia" w:ascii="宋体" w:hAnsi="宋体"/>
          <w:b/>
          <w:bCs/>
          <w:sz w:val="24"/>
        </w:rPr>
        <w:t>5.博士留学生：</w:t>
      </w:r>
      <w:r>
        <w:rPr>
          <w:rFonts w:hint="eastAsia" w:ascii="宋体" w:hAnsi="宋体"/>
          <w:sz w:val="24"/>
        </w:rPr>
        <w:t>总学分≥29学分，其中学位课学分≥29学分，非学位课自行选修。英文授课留学生应开设相应的英文课程。</w:t>
      </w:r>
    </w:p>
    <w:tbl>
      <w:tblPr>
        <w:tblStyle w:val="29"/>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28"/>
        <w:gridCol w:w="1924"/>
        <w:gridCol w:w="1134"/>
        <w:gridCol w:w="1276"/>
        <w:gridCol w:w="1417"/>
        <w:gridCol w:w="1134"/>
      </w:tblGrid>
      <w:tr w14:paraId="73DF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14:paraId="7060D3F8">
            <w:pPr>
              <w:widowControl/>
              <w:spacing w:line="500" w:lineRule="exact"/>
              <w:jc w:val="center"/>
              <w:rPr>
                <w:rFonts w:hint="eastAsia" w:ascii="黑体" w:hAnsi="黑体" w:eastAsia="黑体" w:cs="仿宋"/>
                <w:szCs w:val="21"/>
                <w:lang w:bidi="ar"/>
              </w:rPr>
            </w:pPr>
            <w:r>
              <w:rPr>
                <w:rFonts w:hint="eastAsia" w:ascii="黑体" w:hAnsi="黑体" w:eastAsia="黑体"/>
                <w:b/>
                <w:szCs w:val="21"/>
              </w:rPr>
              <w:t>课程性质</w:t>
            </w:r>
          </w:p>
        </w:tc>
        <w:tc>
          <w:tcPr>
            <w:tcW w:w="1924" w:type="dxa"/>
            <w:noWrap w:val="0"/>
            <w:vAlign w:val="center"/>
          </w:tcPr>
          <w:p w14:paraId="78546A3A">
            <w:pPr>
              <w:widowControl/>
              <w:spacing w:line="500" w:lineRule="exact"/>
              <w:jc w:val="center"/>
              <w:rPr>
                <w:rFonts w:hint="eastAsia" w:ascii="黑体" w:hAnsi="黑体" w:eastAsia="黑体" w:cs="仿宋"/>
                <w:szCs w:val="21"/>
                <w:lang w:bidi="ar"/>
              </w:rPr>
            </w:pPr>
            <w:r>
              <w:rPr>
                <w:rFonts w:hint="eastAsia" w:ascii="黑体" w:hAnsi="黑体" w:eastAsia="黑体"/>
                <w:b/>
                <w:szCs w:val="21"/>
              </w:rPr>
              <w:t>课程名称</w:t>
            </w:r>
          </w:p>
        </w:tc>
        <w:tc>
          <w:tcPr>
            <w:tcW w:w="1134" w:type="dxa"/>
            <w:noWrap w:val="0"/>
            <w:vAlign w:val="center"/>
          </w:tcPr>
          <w:p w14:paraId="4E510E57">
            <w:pPr>
              <w:widowControl/>
              <w:spacing w:line="500" w:lineRule="exact"/>
              <w:jc w:val="center"/>
              <w:rPr>
                <w:rFonts w:hint="eastAsia" w:ascii="黑体" w:hAnsi="黑体" w:eastAsia="黑体" w:cs="仿宋"/>
                <w:szCs w:val="21"/>
                <w:lang w:bidi="ar"/>
              </w:rPr>
            </w:pPr>
            <w:r>
              <w:rPr>
                <w:rFonts w:hint="eastAsia" w:ascii="黑体" w:hAnsi="黑体" w:eastAsia="黑体"/>
                <w:b/>
                <w:szCs w:val="21"/>
              </w:rPr>
              <w:t>总学分</w:t>
            </w:r>
          </w:p>
        </w:tc>
        <w:tc>
          <w:tcPr>
            <w:tcW w:w="1276" w:type="dxa"/>
            <w:noWrap w:val="0"/>
            <w:vAlign w:val="center"/>
          </w:tcPr>
          <w:p w14:paraId="38C155A2">
            <w:pPr>
              <w:widowControl/>
              <w:spacing w:line="500" w:lineRule="exact"/>
              <w:jc w:val="center"/>
              <w:rPr>
                <w:rFonts w:hint="eastAsia" w:ascii="黑体" w:hAnsi="黑体" w:eastAsia="黑体" w:cs="仿宋"/>
                <w:szCs w:val="21"/>
                <w:lang w:bidi="ar"/>
              </w:rPr>
            </w:pPr>
            <w:r>
              <w:rPr>
                <w:rFonts w:hint="eastAsia" w:ascii="黑体" w:hAnsi="黑体" w:eastAsia="黑体"/>
                <w:b/>
                <w:szCs w:val="21"/>
              </w:rPr>
              <w:t>总学时</w:t>
            </w:r>
          </w:p>
        </w:tc>
        <w:tc>
          <w:tcPr>
            <w:tcW w:w="1417" w:type="dxa"/>
            <w:noWrap w:val="0"/>
            <w:vAlign w:val="center"/>
          </w:tcPr>
          <w:p w14:paraId="70C7537B">
            <w:pPr>
              <w:widowControl/>
              <w:spacing w:line="500" w:lineRule="exact"/>
              <w:jc w:val="center"/>
              <w:rPr>
                <w:rFonts w:hint="eastAsia" w:ascii="黑体" w:hAnsi="黑体" w:eastAsia="黑体" w:cs="仿宋"/>
                <w:szCs w:val="21"/>
                <w:lang w:bidi="ar"/>
              </w:rPr>
            </w:pPr>
            <w:r>
              <w:rPr>
                <w:rFonts w:hint="eastAsia" w:ascii="黑体" w:hAnsi="黑体" w:eastAsia="黑体"/>
                <w:b/>
                <w:szCs w:val="21"/>
              </w:rPr>
              <w:t>开课学期</w:t>
            </w:r>
          </w:p>
        </w:tc>
        <w:tc>
          <w:tcPr>
            <w:tcW w:w="1134" w:type="dxa"/>
            <w:noWrap w:val="0"/>
            <w:vAlign w:val="center"/>
          </w:tcPr>
          <w:p w14:paraId="225AB964">
            <w:pPr>
              <w:widowControl/>
              <w:spacing w:line="500" w:lineRule="exact"/>
              <w:jc w:val="center"/>
              <w:rPr>
                <w:rFonts w:hint="eastAsia" w:ascii="黑体" w:hAnsi="黑体" w:eastAsia="黑体" w:cs="仿宋"/>
                <w:szCs w:val="21"/>
                <w:lang w:bidi="ar"/>
              </w:rPr>
            </w:pPr>
            <w:r>
              <w:rPr>
                <w:rFonts w:hint="eastAsia" w:ascii="黑体" w:hAnsi="黑体" w:eastAsia="黑体"/>
                <w:b/>
                <w:szCs w:val="21"/>
              </w:rPr>
              <w:t>备注</w:t>
            </w:r>
          </w:p>
        </w:tc>
      </w:tr>
      <w:tr w14:paraId="5D62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restart"/>
            <w:noWrap w:val="0"/>
            <w:vAlign w:val="center"/>
          </w:tcPr>
          <w:p w14:paraId="3813CFB8">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公共课（必修）</w:t>
            </w:r>
          </w:p>
        </w:tc>
        <w:tc>
          <w:tcPr>
            <w:tcW w:w="1924" w:type="dxa"/>
            <w:noWrap w:val="0"/>
            <w:vAlign w:val="center"/>
          </w:tcPr>
          <w:p w14:paraId="0EAB777D">
            <w:pPr>
              <w:spacing w:line="360" w:lineRule="auto"/>
              <w:ind w:left="-2" w:right="-107" w:firstLine="630"/>
              <w:rPr>
                <w:rFonts w:hint="eastAsia" w:ascii="宋体" w:hAnsi="宋体"/>
                <w:szCs w:val="21"/>
              </w:rPr>
            </w:pPr>
            <w:r>
              <w:rPr>
                <w:rFonts w:hint="eastAsia" w:ascii="宋体" w:hAnsi="宋体"/>
                <w:szCs w:val="21"/>
              </w:rPr>
              <w:t>汉语</w:t>
            </w:r>
          </w:p>
          <w:p w14:paraId="513C4FAA">
            <w:pPr>
              <w:widowControl/>
              <w:spacing w:line="560" w:lineRule="exact"/>
              <w:jc w:val="center"/>
              <w:rPr>
                <w:rFonts w:hint="eastAsia" w:ascii="宋体" w:hAnsi="宋体"/>
                <w:bCs/>
                <w:szCs w:val="21"/>
              </w:rPr>
            </w:pPr>
            <w:r>
              <w:rPr>
                <w:rFonts w:hint="eastAsia" w:ascii="宋体" w:hAnsi="宋体"/>
                <w:szCs w:val="21"/>
              </w:rPr>
              <w:t>（或HSK通过5级）</w:t>
            </w:r>
          </w:p>
        </w:tc>
        <w:tc>
          <w:tcPr>
            <w:tcW w:w="1134" w:type="dxa"/>
            <w:noWrap w:val="0"/>
            <w:vAlign w:val="center"/>
          </w:tcPr>
          <w:p w14:paraId="08503A45">
            <w:pPr>
              <w:widowControl/>
              <w:spacing w:line="560" w:lineRule="exact"/>
              <w:jc w:val="center"/>
              <w:rPr>
                <w:rFonts w:hint="eastAsia" w:ascii="宋体" w:hAnsi="宋体"/>
                <w:bCs/>
                <w:szCs w:val="21"/>
              </w:rPr>
            </w:pPr>
            <w:r>
              <w:rPr>
                <w:rFonts w:hint="eastAsia" w:ascii="宋体" w:hAnsi="宋体"/>
                <w:bCs/>
                <w:szCs w:val="21"/>
              </w:rPr>
              <w:t>8</w:t>
            </w:r>
          </w:p>
        </w:tc>
        <w:tc>
          <w:tcPr>
            <w:tcW w:w="1276" w:type="dxa"/>
            <w:noWrap w:val="0"/>
            <w:vAlign w:val="center"/>
          </w:tcPr>
          <w:p w14:paraId="78128E31">
            <w:pPr>
              <w:widowControl/>
              <w:spacing w:line="560" w:lineRule="exact"/>
              <w:jc w:val="center"/>
              <w:rPr>
                <w:rFonts w:hint="eastAsia" w:ascii="宋体" w:hAnsi="宋体"/>
                <w:bCs/>
                <w:szCs w:val="21"/>
              </w:rPr>
            </w:pPr>
            <w:r>
              <w:rPr>
                <w:rFonts w:hint="eastAsia" w:ascii="宋体" w:hAnsi="宋体"/>
                <w:bCs/>
                <w:szCs w:val="21"/>
              </w:rPr>
              <w:t>128</w:t>
            </w:r>
          </w:p>
        </w:tc>
        <w:tc>
          <w:tcPr>
            <w:tcW w:w="1417" w:type="dxa"/>
            <w:noWrap w:val="0"/>
            <w:vAlign w:val="center"/>
          </w:tcPr>
          <w:p w14:paraId="61AE8A1F">
            <w:pPr>
              <w:widowControl/>
              <w:spacing w:line="560" w:lineRule="exact"/>
              <w:jc w:val="center"/>
              <w:rPr>
                <w:rFonts w:hint="eastAsia" w:ascii="宋体" w:hAnsi="宋体"/>
                <w:bCs/>
                <w:szCs w:val="21"/>
              </w:rPr>
            </w:pPr>
            <w:r>
              <w:rPr>
                <w:rFonts w:hint="eastAsia" w:ascii="宋体" w:hAnsi="宋体"/>
                <w:bCs/>
                <w:szCs w:val="21"/>
              </w:rPr>
              <w:t>第1-2学期</w:t>
            </w:r>
          </w:p>
        </w:tc>
        <w:tc>
          <w:tcPr>
            <w:tcW w:w="1134" w:type="dxa"/>
            <w:vMerge w:val="restart"/>
            <w:noWrap w:val="0"/>
            <w:vAlign w:val="top"/>
          </w:tcPr>
          <w:p w14:paraId="1A7C0F24">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必修</w:t>
            </w:r>
          </w:p>
        </w:tc>
      </w:tr>
      <w:tr w14:paraId="1D16F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vMerge w:val="continue"/>
            <w:noWrap w:val="0"/>
            <w:vAlign w:val="top"/>
          </w:tcPr>
          <w:p w14:paraId="48823A3F">
            <w:pPr>
              <w:widowControl/>
              <w:spacing w:before="100" w:beforeAutospacing="1" w:after="100" w:afterAutospacing="1" w:line="500" w:lineRule="exact"/>
              <w:jc w:val="left"/>
              <w:rPr>
                <w:rFonts w:hint="eastAsia" w:ascii="宋体" w:hAnsi="宋体" w:cs="仿宋"/>
                <w:szCs w:val="21"/>
                <w:lang w:bidi="ar"/>
              </w:rPr>
            </w:pPr>
          </w:p>
        </w:tc>
        <w:tc>
          <w:tcPr>
            <w:tcW w:w="1924" w:type="dxa"/>
            <w:noWrap w:val="0"/>
            <w:vAlign w:val="center"/>
          </w:tcPr>
          <w:p w14:paraId="507DEFF9">
            <w:pPr>
              <w:widowControl/>
              <w:spacing w:line="560" w:lineRule="exact"/>
              <w:jc w:val="center"/>
              <w:rPr>
                <w:rFonts w:ascii="宋体" w:hAnsi="宋体"/>
                <w:szCs w:val="21"/>
              </w:rPr>
            </w:pPr>
            <w:r>
              <w:rPr>
                <w:rFonts w:hint="eastAsia" w:ascii="宋体" w:hAnsi="宋体"/>
                <w:szCs w:val="21"/>
              </w:rPr>
              <w:t>中国文化</w:t>
            </w:r>
          </w:p>
        </w:tc>
        <w:tc>
          <w:tcPr>
            <w:tcW w:w="1134" w:type="dxa"/>
            <w:noWrap w:val="0"/>
            <w:vAlign w:val="center"/>
          </w:tcPr>
          <w:p w14:paraId="6BC94B0B">
            <w:pPr>
              <w:widowControl/>
              <w:spacing w:line="560" w:lineRule="exact"/>
              <w:jc w:val="center"/>
              <w:rPr>
                <w:rFonts w:hint="eastAsia" w:ascii="宋体" w:hAnsi="宋体"/>
                <w:bCs/>
                <w:szCs w:val="21"/>
              </w:rPr>
            </w:pPr>
            <w:r>
              <w:rPr>
                <w:rFonts w:hint="eastAsia" w:ascii="宋体" w:hAnsi="宋体"/>
                <w:bCs/>
                <w:szCs w:val="21"/>
              </w:rPr>
              <w:t>2</w:t>
            </w:r>
          </w:p>
        </w:tc>
        <w:tc>
          <w:tcPr>
            <w:tcW w:w="1276" w:type="dxa"/>
            <w:noWrap w:val="0"/>
            <w:vAlign w:val="center"/>
          </w:tcPr>
          <w:p w14:paraId="192BDB01">
            <w:pPr>
              <w:widowControl/>
              <w:spacing w:line="560" w:lineRule="exact"/>
              <w:jc w:val="center"/>
              <w:rPr>
                <w:rFonts w:hint="eastAsia" w:ascii="宋体" w:hAnsi="宋体"/>
                <w:bCs/>
                <w:szCs w:val="21"/>
              </w:rPr>
            </w:pPr>
            <w:r>
              <w:rPr>
                <w:rFonts w:hint="eastAsia" w:ascii="宋体" w:hAnsi="宋体"/>
                <w:bCs/>
                <w:szCs w:val="21"/>
              </w:rPr>
              <w:t>32</w:t>
            </w:r>
          </w:p>
        </w:tc>
        <w:tc>
          <w:tcPr>
            <w:tcW w:w="1417" w:type="dxa"/>
            <w:noWrap w:val="0"/>
            <w:vAlign w:val="center"/>
          </w:tcPr>
          <w:p w14:paraId="29B481CF">
            <w:pPr>
              <w:widowControl/>
              <w:spacing w:line="560" w:lineRule="exact"/>
              <w:jc w:val="center"/>
              <w:rPr>
                <w:rFonts w:hint="eastAsia" w:ascii="宋体" w:hAnsi="宋体"/>
                <w:bCs/>
                <w:szCs w:val="21"/>
              </w:rPr>
            </w:pPr>
            <w:r>
              <w:rPr>
                <w:rFonts w:hint="eastAsia" w:ascii="宋体" w:hAnsi="宋体"/>
                <w:bCs/>
                <w:szCs w:val="21"/>
              </w:rPr>
              <w:t>第1学期</w:t>
            </w:r>
          </w:p>
        </w:tc>
        <w:tc>
          <w:tcPr>
            <w:tcW w:w="1134" w:type="dxa"/>
            <w:vMerge w:val="continue"/>
            <w:noWrap w:val="0"/>
            <w:vAlign w:val="top"/>
          </w:tcPr>
          <w:p w14:paraId="5EAC7B50">
            <w:pPr>
              <w:widowControl/>
              <w:spacing w:before="100" w:beforeAutospacing="1" w:after="100" w:afterAutospacing="1" w:line="500" w:lineRule="exact"/>
              <w:jc w:val="left"/>
              <w:rPr>
                <w:rFonts w:hint="eastAsia" w:ascii="宋体" w:hAnsi="宋体" w:cs="仿宋"/>
                <w:szCs w:val="21"/>
                <w:lang w:bidi="ar"/>
              </w:rPr>
            </w:pPr>
          </w:p>
        </w:tc>
      </w:tr>
      <w:tr w14:paraId="3CD74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noWrap w:val="0"/>
            <w:vAlign w:val="center"/>
          </w:tcPr>
          <w:p w14:paraId="31C7828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公共课（选修）</w:t>
            </w:r>
          </w:p>
        </w:tc>
        <w:tc>
          <w:tcPr>
            <w:tcW w:w="1924" w:type="dxa"/>
            <w:noWrap w:val="0"/>
            <w:vAlign w:val="top"/>
          </w:tcPr>
          <w:p w14:paraId="370C7149">
            <w:pPr>
              <w:widowControl/>
              <w:spacing w:before="100" w:beforeAutospacing="1" w:after="100" w:afterAutospacing="1" w:line="500" w:lineRule="exact"/>
              <w:jc w:val="left"/>
              <w:rPr>
                <w:rFonts w:hint="eastAsia" w:ascii="宋体" w:hAnsi="宋体"/>
                <w:bCs/>
                <w:szCs w:val="21"/>
              </w:rPr>
            </w:pPr>
          </w:p>
        </w:tc>
        <w:tc>
          <w:tcPr>
            <w:tcW w:w="1134" w:type="dxa"/>
            <w:noWrap w:val="0"/>
            <w:vAlign w:val="center"/>
          </w:tcPr>
          <w:p w14:paraId="75CBB72F">
            <w:pPr>
              <w:widowControl/>
              <w:spacing w:before="100" w:beforeAutospacing="1" w:after="100" w:afterAutospacing="1" w:line="500" w:lineRule="exact"/>
              <w:jc w:val="center"/>
              <w:rPr>
                <w:rFonts w:hint="eastAsia" w:ascii="宋体" w:hAnsi="宋体" w:cs="仿宋"/>
                <w:szCs w:val="21"/>
                <w:lang w:bidi="ar"/>
              </w:rPr>
            </w:pPr>
          </w:p>
        </w:tc>
        <w:tc>
          <w:tcPr>
            <w:tcW w:w="1276" w:type="dxa"/>
            <w:noWrap w:val="0"/>
            <w:vAlign w:val="center"/>
          </w:tcPr>
          <w:p w14:paraId="645A645C">
            <w:pPr>
              <w:widowControl/>
              <w:spacing w:before="100" w:beforeAutospacing="1" w:after="100" w:afterAutospacing="1" w:line="500" w:lineRule="exact"/>
              <w:jc w:val="center"/>
              <w:rPr>
                <w:rFonts w:hint="eastAsia" w:ascii="宋体" w:hAnsi="宋体" w:cs="仿宋"/>
                <w:szCs w:val="21"/>
                <w:lang w:bidi="ar"/>
              </w:rPr>
            </w:pPr>
          </w:p>
        </w:tc>
        <w:tc>
          <w:tcPr>
            <w:tcW w:w="1417" w:type="dxa"/>
            <w:noWrap w:val="0"/>
            <w:vAlign w:val="top"/>
          </w:tcPr>
          <w:p w14:paraId="1504874A">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根据当学期开设课程自行选修</w:t>
            </w:r>
          </w:p>
        </w:tc>
        <w:tc>
          <w:tcPr>
            <w:tcW w:w="1134" w:type="dxa"/>
            <w:noWrap w:val="0"/>
            <w:vAlign w:val="top"/>
          </w:tcPr>
          <w:p w14:paraId="2AD82992">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在导师的指导下选修</w:t>
            </w:r>
          </w:p>
        </w:tc>
      </w:tr>
      <w:tr w14:paraId="70456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1728" w:type="dxa"/>
            <w:vMerge w:val="restart"/>
            <w:noWrap w:val="0"/>
            <w:vAlign w:val="center"/>
          </w:tcPr>
          <w:p w14:paraId="09036096">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学科基础课</w:t>
            </w:r>
          </w:p>
        </w:tc>
        <w:tc>
          <w:tcPr>
            <w:tcW w:w="1924" w:type="dxa"/>
            <w:noWrap w:val="0"/>
            <w:vAlign w:val="top"/>
          </w:tcPr>
          <w:p w14:paraId="4A4F38F5">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高级微观经济学</w:t>
            </w:r>
          </w:p>
        </w:tc>
        <w:tc>
          <w:tcPr>
            <w:tcW w:w="1134" w:type="dxa"/>
            <w:noWrap w:val="0"/>
            <w:vAlign w:val="center"/>
          </w:tcPr>
          <w:p w14:paraId="4F889483">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76" w:type="dxa"/>
            <w:noWrap w:val="0"/>
            <w:vAlign w:val="center"/>
          </w:tcPr>
          <w:p w14:paraId="506C09D7">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17" w:type="dxa"/>
            <w:noWrap w:val="0"/>
            <w:vAlign w:val="top"/>
          </w:tcPr>
          <w:p w14:paraId="17EEE5F2">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134" w:type="dxa"/>
            <w:vMerge w:val="restart"/>
            <w:noWrap w:val="0"/>
            <w:vAlign w:val="top"/>
          </w:tcPr>
          <w:p w14:paraId="4E9343F6">
            <w:pPr>
              <w:widowControl/>
              <w:spacing w:before="100" w:beforeAutospacing="1" w:after="100" w:afterAutospacing="1" w:line="500" w:lineRule="exact"/>
              <w:jc w:val="left"/>
              <w:rPr>
                <w:rFonts w:hint="eastAsia" w:ascii="宋体" w:hAnsi="宋体"/>
                <w:bCs/>
                <w:szCs w:val="21"/>
              </w:rPr>
            </w:pPr>
            <w:r>
              <w:rPr>
                <w:rFonts w:hint="eastAsia" w:ascii="宋体" w:hAnsi="宋体" w:cs="仿宋"/>
                <w:szCs w:val="21"/>
                <w:lang w:bidi="ar"/>
              </w:rPr>
              <w:t>学院（中心）将博士研究生中期考核相关课程纳入学科基础课，由研究生院统一组织开课和考核。</w:t>
            </w:r>
          </w:p>
        </w:tc>
      </w:tr>
      <w:tr w14:paraId="10E64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1728" w:type="dxa"/>
            <w:vMerge w:val="continue"/>
            <w:noWrap w:val="0"/>
            <w:vAlign w:val="center"/>
          </w:tcPr>
          <w:p w14:paraId="3A6129BD">
            <w:pPr>
              <w:widowControl/>
              <w:spacing w:before="100" w:beforeAutospacing="1" w:after="100" w:afterAutospacing="1" w:line="500" w:lineRule="exact"/>
              <w:jc w:val="center"/>
              <w:rPr>
                <w:rFonts w:hint="eastAsia" w:ascii="宋体" w:hAnsi="宋体" w:cs="仿宋"/>
                <w:szCs w:val="21"/>
                <w:lang w:bidi="ar"/>
              </w:rPr>
            </w:pPr>
          </w:p>
        </w:tc>
        <w:tc>
          <w:tcPr>
            <w:tcW w:w="1924" w:type="dxa"/>
            <w:noWrap w:val="0"/>
            <w:vAlign w:val="top"/>
          </w:tcPr>
          <w:p w14:paraId="42BD3FE5">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高级宏观经济学</w:t>
            </w:r>
          </w:p>
        </w:tc>
        <w:tc>
          <w:tcPr>
            <w:tcW w:w="1134" w:type="dxa"/>
            <w:noWrap w:val="0"/>
            <w:vAlign w:val="center"/>
          </w:tcPr>
          <w:p w14:paraId="1B8EC5E4">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76" w:type="dxa"/>
            <w:noWrap w:val="0"/>
            <w:vAlign w:val="center"/>
          </w:tcPr>
          <w:p w14:paraId="46A2946F">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17" w:type="dxa"/>
            <w:noWrap w:val="0"/>
            <w:vAlign w:val="top"/>
          </w:tcPr>
          <w:p w14:paraId="192A5760">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134" w:type="dxa"/>
            <w:vMerge w:val="continue"/>
            <w:noWrap w:val="0"/>
            <w:vAlign w:val="top"/>
          </w:tcPr>
          <w:p w14:paraId="44D9A424">
            <w:pPr>
              <w:widowControl/>
              <w:spacing w:before="100" w:beforeAutospacing="1" w:after="100" w:afterAutospacing="1" w:line="500" w:lineRule="exact"/>
              <w:jc w:val="left"/>
              <w:rPr>
                <w:rFonts w:hint="eastAsia" w:ascii="宋体" w:hAnsi="宋体" w:cs="宋体"/>
                <w:szCs w:val="21"/>
              </w:rPr>
            </w:pPr>
          </w:p>
        </w:tc>
      </w:tr>
      <w:tr w14:paraId="0B79C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186B1856">
            <w:pPr>
              <w:widowControl/>
              <w:spacing w:before="100" w:beforeAutospacing="1" w:after="100" w:afterAutospacing="1" w:line="500" w:lineRule="exact"/>
              <w:jc w:val="center"/>
              <w:rPr>
                <w:rFonts w:hint="eastAsia" w:ascii="宋体" w:hAnsi="宋体" w:cs="仿宋"/>
                <w:szCs w:val="21"/>
                <w:lang w:bidi="ar"/>
              </w:rPr>
            </w:pPr>
          </w:p>
        </w:tc>
        <w:tc>
          <w:tcPr>
            <w:tcW w:w="1924" w:type="dxa"/>
            <w:noWrap w:val="0"/>
            <w:vAlign w:val="top"/>
          </w:tcPr>
          <w:p w14:paraId="78695381">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高级计量经济学</w:t>
            </w:r>
          </w:p>
        </w:tc>
        <w:tc>
          <w:tcPr>
            <w:tcW w:w="1134" w:type="dxa"/>
            <w:noWrap w:val="0"/>
            <w:vAlign w:val="center"/>
          </w:tcPr>
          <w:p w14:paraId="2870254B">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w:t>
            </w:r>
          </w:p>
        </w:tc>
        <w:tc>
          <w:tcPr>
            <w:tcW w:w="1276" w:type="dxa"/>
            <w:noWrap w:val="0"/>
            <w:vAlign w:val="center"/>
          </w:tcPr>
          <w:p w14:paraId="64475E14">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48</w:t>
            </w:r>
          </w:p>
        </w:tc>
        <w:tc>
          <w:tcPr>
            <w:tcW w:w="1417" w:type="dxa"/>
            <w:noWrap w:val="0"/>
            <w:vAlign w:val="top"/>
          </w:tcPr>
          <w:p w14:paraId="756EBA87">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134" w:type="dxa"/>
            <w:vMerge w:val="continue"/>
            <w:noWrap w:val="0"/>
            <w:vAlign w:val="top"/>
          </w:tcPr>
          <w:p w14:paraId="5E0F3D57">
            <w:pPr>
              <w:widowControl/>
              <w:spacing w:before="100" w:beforeAutospacing="1" w:after="100" w:afterAutospacing="1" w:line="500" w:lineRule="exact"/>
              <w:jc w:val="left"/>
              <w:rPr>
                <w:rFonts w:hint="eastAsia" w:ascii="宋体" w:hAnsi="宋体" w:cs="宋体"/>
                <w:szCs w:val="21"/>
              </w:rPr>
            </w:pPr>
          </w:p>
        </w:tc>
      </w:tr>
      <w:tr w14:paraId="2950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0D687FFD">
            <w:pPr>
              <w:widowControl/>
              <w:spacing w:before="100" w:beforeAutospacing="1" w:after="100" w:afterAutospacing="1" w:line="500" w:lineRule="exact"/>
              <w:jc w:val="center"/>
              <w:rPr>
                <w:rFonts w:hint="eastAsia" w:ascii="宋体" w:hAnsi="宋体" w:cs="仿宋"/>
                <w:szCs w:val="21"/>
                <w:lang w:bidi="ar"/>
              </w:rPr>
            </w:pPr>
          </w:p>
        </w:tc>
        <w:tc>
          <w:tcPr>
            <w:tcW w:w="1924" w:type="dxa"/>
            <w:noWrap w:val="0"/>
            <w:vAlign w:val="top"/>
          </w:tcPr>
          <w:p w14:paraId="492B329E">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研究方法</w:t>
            </w:r>
          </w:p>
        </w:tc>
        <w:tc>
          <w:tcPr>
            <w:tcW w:w="1134" w:type="dxa"/>
            <w:noWrap w:val="0"/>
            <w:vAlign w:val="center"/>
          </w:tcPr>
          <w:p w14:paraId="30969004">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76" w:type="dxa"/>
            <w:noWrap w:val="0"/>
            <w:vAlign w:val="center"/>
          </w:tcPr>
          <w:p w14:paraId="186FCBB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17" w:type="dxa"/>
            <w:noWrap w:val="0"/>
            <w:vAlign w:val="top"/>
          </w:tcPr>
          <w:p w14:paraId="721374EF">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134" w:type="dxa"/>
            <w:vMerge w:val="continue"/>
            <w:noWrap w:val="0"/>
            <w:vAlign w:val="top"/>
          </w:tcPr>
          <w:p w14:paraId="55B879F5">
            <w:pPr>
              <w:widowControl/>
              <w:spacing w:before="100" w:beforeAutospacing="1" w:after="100" w:afterAutospacing="1" w:line="500" w:lineRule="exact"/>
              <w:jc w:val="left"/>
              <w:rPr>
                <w:rFonts w:hint="eastAsia" w:ascii="宋体" w:hAnsi="宋体" w:cs="宋体"/>
                <w:szCs w:val="21"/>
              </w:rPr>
            </w:pPr>
          </w:p>
        </w:tc>
      </w:tr>
      <w:tr w14:paraId="41F61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728" w:type="dxa"/>
            <w:vMerge w:val="continue"/>
            <w:noWrap w:val="0"/>
            <w:vAlign w:val="center"/>
          </w:tcPr>
          <w:p w14:paraId="289DCE8D">
            <w:pPr>
              <w:widowControl/>
              <w:spacing w:before="100" w:beforeAutospacing="1" w:after="100" w:afterAutospacing="1" w:line="500" w:lineRule="exact"/>
              <w:jc w:val="center"/>
              <w:rPr>
                <w:rFonts w:hint="eastAsia" w:ascii="宋体" w:hAnsi="宋体" w:cs="仿宋"/>
                <w:szCs w:val="21"/>
                <w:lang w:bidi="ar"/>
              </w:rPr>
            </w:pPr>
          </w:p>
        </w:tc>
        <w:tc>
          <w:tcPr>
            <w:tcW w:w="1924" w:type="dxa"/>
            <w:noWrap w:val="0"/>
            <w:vAlign w:val="top"/>
          </w:tcPr>
          <w:p w14:paraId="4F1AE5D3">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一级学科经典文献</w:t>
            </w:r>
          </w:p>
        </w:tc>
        <w:tc>
          <w:tcPr>
            <w:tcW w:w="1134" w:type="dxa"/>
            <w:noWrap w:val="0"/>
            <w:vAlign w:val="center"/>
          </w:tcPr>
          <w:p w14:paraId="20B1C00F">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76" w:type="dxa"/>
            <w:noWrap w:val="0"/>
            <w:vAlign w:val="center"/>
          </w:tcPr>
          <w:p w14:paraId="142D77DB">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17" w:type="dxa"/>
            <w:noWrap w:val="0"/>
            <w:vAlign w:val="top"/>
          </w:tcPr>
          <w:p w14:paraId="7ADC92F2">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每学期均开</w:t>
            </w:r>
          </w:p>
        </w:tc>
        <w:tc>
          <w:tcPr>
            <w:tcW w:w="1134" w:type="dxa"/>
            <w:vMerge w:val="continue"/>
            <w:noWrap w:val="0"/>
            <w:vAlign w:val="top"/>
          </w:tcPr>
          <w:p w14:paraId="42278BCA">
            <w:pPr>
              <w:widowControl/>
              <w:spacing w:before="100" w:beforeAutospacing="1" w:after="100" w:afterAutospacing="1" w:line="500" w:lineRule="exact"/>
              <w:jc w:val="left"/>
              <w:rPr>
                <w:rFonts w:hint="eastAsia" w:ascii="宋体" w:hAnsi="宋体" w:cs="宋体"/>
                <w:szCs w:val="21"/>
              </w:rPr>
            </w:pPr>
          </w:p>
        </w:tc>
      </w:tr>
      <w:tr w14:paraId="33C8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28" w:type="dxa"/>
            <w:vMerge w:val="restart"/>
            <w:noWrap w:val="0"/>
            <w:vAlign w:val="center"/>
          </w:tcPr>
          <w:p w14:paraId="5886061F">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专业课</w:t>
            </w:r>
          </w:p>
        </w:tc>
        <w:tc>
          <w:tcPr>
            <w:tcW w:w="1924" w:type="dxa"/>
            <w:noWrap w:val="0"/>
            <w:vAlign w:val="top"/>
          </w:tcPr>
          <w:p w14:paraId="043015BB">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专业经典文献</w:t>
            </w:r>
          </w:p>
        </w:tc>
        <w:tc>
          <w:tcPr>
            <w:tcW w:w="1134" w:type="dxa"/>
            <w:noWrap w:val="0"/>
            <w:vAlign w:val="center"/>
          </w:tcPr>
          <w:p w14:paraId="1D16D734">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2</w:t>
            </w:r>
          </w:p>
        </w:tc>
        <w:tc>
          <w:tcPr>
            <w:tcW w:w="1276" w:type="dxa"/>
            <w:noWrap w:val="0"/>
            <w:vAlign w:val="center"/>
          </w:tcPr>
          <w:p w14:paraId="1CA72E30">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32</w:t>
            </w:r>
          </w:p>
        </w:tc>
        <w:tc>
          <w:tcPr>
            <w:tcW w:w="1417" w:type="dxa"/>
            <w:vMerge w:val="restart"/>
            <w:noWrap w:val="0"/>
            <w:vAlign w:val="top"/>
          </w:tcPr>
          <w:p w14:paraId="507099EC">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学院自行安排</w:t>
            </w:r>
          </w:p>
        </w:tc>
        <w:tc>
          <w:tcPr>
            <w:tcW w:w="1134" w:type="dxa"/>
            <w:vMerge w:val="continue"/>
            <w:noWrap w:val="0"/>
            <w:vAlign w:val="top"/>
          </w:tcPr>
          <w:p w14:paraId="1A37E1B4">
            <w:pPr>
              <w:widowControl/>
              <w:spacing w:before="100" w:beforeAutospacing="1" w:after="100" w:afterAutospacing="1" w:line="500" w:lineRule="exact"/>
              <w:jc w:val="left"/>
              <w:rPr>
                <w:rFonts w:hint="eastAsia" w:ascii="宋体" w:hAnsi="宋体" w:cs="宋体"/>
                <w:szCs w:val="21"/>
              </w:rPr>
            </w:pPr>
          </w:p>
        </w:tc>
      </w:tr>
      <w:tr w14:paraId="085AD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728" w:type="dxa"/>
            <w:vMerge w:val="continue"/>
            <w:noWrap w:val="0"/>
            <w:vAlign w:val="center"/>
          </w:tcPr>
          <w:p w14:paraId="2CB17CB6">
            <w:pPr>
              <w:widowControl/>
              <w:spacing w:before="100" w:beforeAutospacing="1" w:after="100" w:afterAutospacing="1" w:line="500" w:lineRule="exact"/>
              <w:jc w:val="center"/>
              <w:rPr>
                <w:rFonts w:hint="eastAsia" w:ascii="宋体" w:hAnsi="宋体" w:cs="仿宋"/>
                <w:szCs w:val="21"/>
                <w:lang w:bidi="ar"/>
              </w:rPr>
            </w:pPr>
          </w:p>
        </w:tc>
        <w:tc>
          <w:tcPr>
            <w:tcW w:w="1924" w:type="dxa"/>
            <w:noWrap w:val="0"/>
            <w:vAlign w:val="top"/>
          </w:tcPr>
          <w:p w14:paraId="22540F7A">
            <w:pPr>
              <w:widowControl/>
              <w:spacing w:before="100" w:beforeAutospacing="1" w:after="100" w:afterAutospacing="1" w:line="500" w:lineRule="exact"/>
              <w:jc w:val="left"/>
              <w:rPr>
                <w:rFonts w:hint="eastAsia" w:ascii="宋体" w:hAnsi="宋体"/>
                <w:bCs/>
                <w:szCs w:val="21"/>
              </w:rPr>
            </w:pPr>
            <w:r>
              <w:rPr>
                <w:rFonts w:hint="eastAsia" w:ascii="宋体" w:hAnsi="宋体"/>
                <w:bCs/>
                <w:szCs w:val="21"/>
              </w:rPr>
              <w:t>其他专业课</w:t>
            </w:r>
          </w:p>
        </w:tc>
        <w:tc>
          <w:tcPr>
            <w:tcW w:w="1134" w:type="dxa"/>
            <w:noWrap w:val="0"/>
            <w:vAlign w:val="center"/>
          </w:tcPr>
          <w:p w14:paraId="5D358148">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≥4</w:t>
            </w:r>
          </w:p>
        </w:tc>
        <w:tc>
          <w:tcPr>
            <w:tcW w:w="1276" w:type="dxa"/>
            <w:noWrap w:val="0"/>
            <w:vAlign w:val="center"/>
          </w:tcPr>
          <w:p w14:paraId="3FA1B2EA">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cs="仿宋"/>
                <w:szCs w:val="21"/>
                <w:lang w:bidi="ar"/>
              </w:rPr>
              <w:t>≥64</w:t>
            </w:r>
          </w:p>
        </w:tc>
        <w:tc>
          <w:tcPr>
            <w:tcW w:w="1417" w:type="dxa"/>
            <w:vMerge w:val="continue"/>
            <w:noWrap w:val="0"/>
            <w:vAlign w:val="top"/>
          </w:tcPr>
          <w:p w14:paraId="75F5DD3E">
            <w:pPr>
              <w:widowControl/>
              <w:spacing w:before="100" w:beforeAutospacing="1" w:after="100" w:afterAutospacing="1" w:line="500" w:lineRule="exact"/>
              <w:jc w:val="left"/>
              <w:rPr>
                <w:rFonts w:hint="eastAsia" w:ascii="宋体" w:hAnsi="宋体" w:cs="仿宋"/>
                <w:szCs w:val="21"/>
                <w:lang w:bidi="ar"/>
              </w:rPr>
            </w:pPr>
          </w:p>
        </w:tc>
        <w:tc>
          <w:tcPr>
            <w:tcW w:w="1134" w:type="dxa"/>
            <w:vMerge w:val="continue"/>
            <w:noWrap w:val="0"/>
            <w:vAlign w:val="top"/>
          </w:tcPr>
          <w:p w14:paraId="298DBA07">
            <w:pPr>
              <w:widowControl/>
              <w:spacing w:before="100" w:beforeAutospacing="1" w:after="100" w:afterAutospacing="1" w:line="500" w:lineRule="exact"/>
              <w:jc w:val="left"/>
              <w:rPr>
                <w:rFonts w:hint="eastAsia" w:ascii="宋体" w:hAnsi="宋体" w:cs="宋体"/>
                <w:szCs w:val="21"/>
              </w:rPr>
            </w:pPr>
          </w:p>
        </w:tc>
      </w:tr>
      <w:tr w14:paraId="4C2F2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1728" w:type="dxa"/>
            <w:noWrap w:val="0"/>
            <w:vAlign w:val="center"/>
          </w:tcPr>
          <w:p w14:paraId="34CD2D49">
            <w:pPr>
              <w:widowControl/>
              <w:spacing w:before="100" w:beforeAutospacing="1" w:after="100" w:afterAutospacing="1" w:line="500" w:lineRule="exact"/>
              <w:jc w:val="center"/>
              <w:rPr>
                <w:rFonts w:hint="eastAsia" w:ascii="宋体" w:hAnsi="宋体" w:cs="仿宋"/>
                <w:szCs w:val="21"/>
                <w:lang w:bidi="ar"/>
              </w:rPr>
            </w:pPr>
            <w:r>
              <w:rPr>
                <w:rFonts w:hint="eastAsia" w:ascii="宋体" w:hAnsi="宋体"/>
                <w:bCs/>
                <w:szCs w:val="21"/>
              </w:rPr>
              <w:t>公共课、学科基础课和专业课</w:t>
            </w:r>
            <w:r>
              <w:rPr>
                <w:rFonts w:hint="eastAsia" w:ascii="宋体" w:hAnsi="宋体" w:cs="仿宋"/>
                <w:szCs w:val="21"/>
                <w:lang w:bidi="ar"/>
              </w:rPr>
              <w:t>学分总计</w:t>
            </w:r>
          </w:p>
        </w:tc>
        <w:tc>
          <w:tcPr>
            <w:tcW w:w="1924" w:type="dxa"/>
            <w:noWrap w:val="0"/>
            <w:vAlign w:val="top"/>
          </w:tcPr>
          <w:p w14:paraId="0ED2A8B9">
            <w:pPr>
              <w:widowControl/>
              <w:spacing w:before="100" w:beforeAutospacing="1" w:after="100" w:afterAutospacing="1" w:line="500" w:lineRule="exact"/>
              <w:jc w:val="left"/>
              <w:rPr>
                <w:rFonts w:hint="eastAsia" w:ascii="宋体" w:hAnsi="宋体" w:cs="仿宋"/>
                <w:szCs w:val="21"/>
                <w:lang w:bidi="ar"/>
              </w:rPr>
            </w:pPr>
          </w:p>
        </w:tc>
        <w:tc>
          <w:tcPr>
            <w:tcW w:w="1134" w:type="dxa"/>
            <w:noWrap w:val="0"/>
            <w:vAlign w:val="top"/>
          </w:tcPr>
          <w:p w14:paraId="5D2683ED">
            <w:pPr>
              <w:widowControl/>
              <w:spacing w:before="100" w:beforeAutospacing="1" w:after="100" w:afterAutospacing="1" w:line="500" w:lineRule="exact"/>
              <w:jc w:val="left"/>
              <w:rPr>
                <w:rFonts w:ascii="宋体" w:hAnsi="宋体" w:cs="仿宋"/>
                <w:szCs w:val="21"/>
                <w:lang w:bidi="ar"/>
              </w:rPr>
            </w:pPr>
          </w:p>
          <w:p w14:paraId="7F482C7D">
            <w:pPr>
              <w:spacing w:before="100" w:beforeAutospacing="1" w:after="100" w:afterAutospacing="1" w:line="500" w:lineRule="exact"/>
              <w:ind w:firstLine="315"/>
              <w:jc w:val="left"/>
              <w:rPr>
                <w:rFonts w:hint="eastAsia" w:ascii="宋体" w:hAnsi="宋体" w:cs="仿宋"/>
                <w:szCs w:val="21"/>
                <w:lang w:bidi="ar"/>
              </w:rPr>
            </w:pPr>
            <w:r>
              <w:rPr>
                <w:rFonts w:hint="eastAsia" w:ascii="宋体" w:hAnsi="宋体" w:cs="仿宋"/>
                <w:szCs w:val="21"/>
                <w:lang w:bidi="ar"/>
              </w:rPr>
              <w:t>≥29</w:t>
            </w:r>
          </w:p>
          <w:p w14:paraId="52CC92D0">
            <w:pPr>
              <w:spacing w:before="100" w:beforeAutospacing="1" w:after="100" w:afterAutospacing="1" w:line="500" w:lineRule="exact"/>
              <w:jc w:val="left"/>
              <w:rPr>
                <w:rFonts w:hint="eastAsia" w:ascii="宋体" w:hAnsi="宋体" w:cs="仿宋"/>
                <w:szCs w:val="21"/>
                <w:lang w:bidi="ar"/>
              </w:rPr>
            </w:pPr>
          </w:p>
        </w:tc>
        <w:tc>
          <w:tcPr>
            <w:tcW w:w="1276" w:type="dxa"/>
            <w:noWrap w:val="0"/>
            <w:vAlign w:val="top"/>
          </w:tcPr>
          <w:p w14:paraId="47E7C7CE">
            <w:pPr>
              <w:widowControl/>
              <w:spacing w:before="100" w:beforeAutospacing="1" w:after="100" w:afterAutospacing="1" w:line="500" w:lineRule="exact"/>
              <w:jc w:val="left"/>
              <w:rPr>
                <w:rFonts w:hint="eastAsia" w:ascii="宋体" w:hAnsi="宋体" w:cs="仿宋"/>
                <w:szCs w:val="21"/>
                <w:lang w:bidi="ar"/>
              </w:rPr>
            </w:pPr>
          </w:p>
          <w:p w14:paraId="37AF96FA">
            <w:pPr>
              <w:spacing w:before="100" w:beforeAutospacing="1" w:after="100" w:afterAutospacing="1" w:line="500" w:lineRule="exact"/>
              <w:ind w:firstLine="210"/>
              <w:jc w:val="left"/>
              <w:rPr>
                <w:rFonts w:hint="eastAsia" w:ascii="宋体" w:hAnsi="宋体" w:cs="仿宋"/>
                <w:szCs w:val="21"/>
                <w:lang w:bidi="ar"/>
              </w:rPr>
            </w:pPr>
            <w:r>
              <w:rPr>
                <w:rFonts w:hint="eastAsia" w:ascii="宋体" w:hAnsi="宋体" w:cs="仿宋"/>
                <w:szCs w:val="21"/>
                <w:lang w:bidi="ar"/>
              </w:rPr>
              <w:t>≥464</w:t>
            </w:r>
          </w:p>
          <w:p w14:paraId="0786F782">
            <w:pPr>
              <w:widowControl/>
              <w:spacing w:before="100" w:beforeAutospacing="1" w:after="100" w:afterAutospacing="1" w:line="500" w:lineRule="exact"/>
              <w:jc w:val="left"/>
              <w:rPr>
                <w:rFonts w:hint="eastAsia" w:ascii="宋体" w:hAnsi="宋体" w:cs="仿宋"/>
                <w:szCs w:val="21"/>
                <w:lang w:bidi="ar"/>
              </w:rPr>
            </w:pPr>
          </w:p>
        </w:tc>
        <w:tc>
          <w:tcPr>
            <w:tcW w:w="1417" w:type="dxa"/>
            <w:noWrap w:val="0"/>
            <w:vAlign w:val="top"/>
          </w:tcPr>
          <w:p w14:paraId="1E885F68">
            <w:pPr>
              <w:widowControl/>
              <w:spacing w:before="100" w:beforeAutospacing="1" w:after="100" w:afterAutospacing="1" w:line="500" w:lineRule="exact"/>
              <w:jc w:val="left"/>
              <w:rPr>
                <w:rFonts w:hint="eastAsia" w:ascii="宋体" w:hAnsi="宋体" w:cs="仿宋"/>
                <w:szCs w:val="21"/>
                <w:lang w:bidi="ar"/>
              </w:rPr>
            </w:pPr>
          </w:p>
          <w:p w14:paraId="295643CA">
            <w:pPr>
              <w:widowControl/>
              <w:spacing w:before="100" w:beforeAutospacing="1" w:after="100" w:afterAutospacing="1" w:line="500" w:lineRule="exact"/>
              <w:jc w:val="left"/>
              <w:rPr>
                <w:rFonts w:hint="eastAsia" w:ascii="宋体" w:hAnsi="宋体" w:cs="仿宋"/>
                <w:szCs w:val="21"/>
                <w:lang w:bidi="ar"/>
              </w:rPr>
            </w:pPr>
            <w:r>
              <w:rPr>
                <w:rFonts w:hint="eastAsia" w:ascii="宋体" w:hAnsi="宋体" w:cs="仿宋"/>
                <w:szCs w:val="21"/>
                <w:lang w:bidi="ar"/>
              </w:rPr>
              <w:t>2年内完成课程学习</w:t>
            </w:r>
          </w:p>
        </w:tc>
        <w:tc>
          <w:tcPr>
            <w:tcW w:w="1134" w:type="dxa"/>
            <w:noWrap w:val="0"/>
            <w:vAlign w:val="top"/>
          </w:tcPr>
          <w:p w14:paraId="7C34FAD8">
            <w:pPr>
              <w:widowControl/>
              <w:spacing w:before="100" w:beforeAutospacing="1" w:after="100" w:afterAutospacing="1" w:line="500" w:lineRule="exact"/>
              <w:jc w:val="left"/>
              <w:rPr>
                <w:rFonts w:hint="eastAsia" w:ascii="宋体" w:hAnsi="宋体"/>
                <w:bCs/>
                <w:szCs w:val="21"/>
              </w:rPr>
            </w:pPr>
          </w:p>
        </w:tc>
      </w:tr>
    </w:tbl>
    <w:p w14:paraId="036817D2">
      <w:pPr>
        <w:spacing w:line="480" w:lineRule="exact"/>
        <w:ind w:firstLine="281"/>
        <w:rPr>
          <w:rFonts w:hint="eastAsia" w:ascii="宋体" w:hAnsi="宋体" w:cs="宋体"/>
          <w:sz w:val="28"/>
          <w:szCs w:val="28"/>
        </w:rPr>
      </w:pPr>
      <w:r>
        <w:rPr>
          <w:rFonts w:hint="eastAsia" w:ascii="宋体" w:hAnsi="宋体" w:cs="宋体"/>
          <w:b/>
          <w:bCs/>
          <w:sz w:val="28"/>
          <w:szCs w:val="28"/>
        </w:rPr>
        <w:t>（四）课程设置要求</w:t>
      </w:r>
    </w:p>
    <w:p w14:paraId="7D14010E">
      <w:pPr>
        <w:spacing w:line="480" w:lineRule="exact"/>
        <w:ind w:firstLine="560"/>
        <w:rPr>
          <w:rFonts w:hint="eastAsia" w:ascii="宋体" w:hAnsi="宋体" w:cs="宋体"/>
          <w:sz w:val="28"/>
          <w:szCs w:val="28"/>
        </w:rPr>
      </w:pPr>
      <w:r>
        <w:rPr>
          <w:rFonts w:hint="eastAsia" w:ascii="宋体" w:hAnsi="宋体" w:cs="宋体"/>
          <w:sz w:val="28"/>
          <w:szCs w:val="28"/>
        </w:rPr>
        <w:t>1.培养方案中相同类型研究生的公共课，由研究生院根据教育部、国务院学位委员会的要求统一规定。相同类型相同一级学科研究生学位课程中的公共课和基础课要相同。</w:t>
      </w:r>
    </w:p>
    <w:p w14:paraId="4058AB71">
      <w:pPr>
        <w:spacing w:line="480" w:lineRule="exact"/>
        <w:ind w:firstLine="560"/>
        <w:rPr>
          <w:rFonts w:hint="eastAsia" w:ascii="宋体" w:hAnsi="宋体" w:cs="宋体"/>
          <w:sz w:val="28"/>
          <w:szCs w:val="28"/>
        </w:rPr>
      </w:pPr>
      <w:r>
        <w:rPr>
          <w:rFonts w:hint="eastAsia" w:ascii="宋体" w:hAnsi="宋体" w:cs="宋体"/>
          <w:sz w:val="28"/>
          <w:szCs w:val="28"/>
        </w:rPr>
        <w:t>2.博士留学生（英文）培养方案应与博士留学生（中文）趋于相同，开设英文授课的经典文献课程。</w:t>
      </w:r>
    </w:p>
    <w:p w14:paraId="3711D4DA">
      <w:pPr>
        <w:spacing w:line="480" w:lineRule="exact"/>
        <w:ind w:firstLine="562"/>
        <w:rPr>
          <w:rFonts w:hint="eastAsia" w:ascii="宋体" w:hAnsi="宋体" w:cs="宋体"/>
          <w:sz w:val="28"/>
          <w:szCs w:val="28"/>
        </w:rPr>
      </w:pPr>
      <w:r>
        <w:rPr>
          <w:rFonts w:hint="eastAsia" w:ascii="宋体" w:hAnsi="宋体" w:cs="宋体"/>
          <w:b/>
          <w:bCs/>
          <w:sz w:val="28"/>
          <w:szCs w:val="28"/>
        </w:rPr>
        <w:t>七、培养方案的修订（制定）、审批、执行与检查</w:t>
      </w:r>
    </w:p>
    <w:p w14:paraId="2C9C955D">
      <w:pPr>
        <w:spacing w:line="480" w:lineRule="exact"/>
        <w:ind w:firstLine="560"/>
        <w:rPr>
          <w:rFonts w:hint="eastAsia" w:ascii="宋体" w:hAnsi="宋体" w:cs="宋体"/>
          <w:sz w:val="28"/>
          <w:szCs w:val="28"/>
        </w:rPr>
      </w:pPr>
      <w:r>
        <w:rPr>
          <w:rFonts w:hint="eastAsia" w:ascii="宋体" w:hAnsi="宋体" w:cs="宋体"/>
          <w:sz w:val="28"/>
          <w:szCs w:val="28"/>
        </w:rPr>
        <w:t>（一）本次培养方案的制定是针对我校新增学位授权点；本次培养方案的修订是针对我校原有学位授权点。各培养单位应高度重视本轮研究生培养方案的修订（制定）工作，在充分调研和讨论的基础上形成初稿。</w:t>
      </w:r>
    </w:p>
    <w:p w14:paraId="3AFD25C0">
      <w:pPr>
        <w:spacing w:line="480" w:lineRule="exact"/>
        <w:ind w:firstLine="560"/>
        <w:rPr>
          <w:rFonts w:hint="eastAsia" w:ascii="宋体" w:hAnsi="宋体" w:cs="宋体"/>
          <w:sz w:val="28"/>
          <w:szCs w:val="28"/>
        </w:rPr>
      </w:pPr>
      <w:r>
        <w:rPr>
          <w:rFonts w:hint="eastAsia" w:ascii="宋体" w:hAnsi="宋体" w:cs="宋体"/>
          <w:sz w:val="28"/>
          <w:szCs w:val="28"/>
        </w:rPr>
        <w:t>（二）各培养单位的研究生培养指导委员会，在培养方案的修订（制定）过程中应该加强指导和把关，尽量组织同行专家对修订（制定）的培养方案进行评议。各学位点修订（制定）培养方案的负责人在听取意见和建议后对相应培养方案进行修改，再由培养单位汇总报研究生院审核，经审批后执行。</w:t>
      </w:r>
    </w:p>
    <w:p w14:paraId="1E537D6A">
      <w:pPr>
        <w:spacing w:line="480" w:lineRule="exact"/>
        <w:ind w:firstLine="420"/>
        <w:rPr>
          <w:rFonts w:hint="eastAsia" w:ascii="宋体" w:hAnsi="宋体" w:cs="宋体"/>
          <w:sz w:val="28"/>
          <w:szCs w:val="28"/>
        </w:rPr>
      </w:pPr>
      <w:r>
        <w:rPr>
          <w:rFonts w:hint="eastAsia" w:ascii="宋体" w:hAnsi="宋体" w:cs="宋体"/>
          <w:sz w:val="28"/>
          <w:szCs w:val="28"/>
        </w:rPr>
        <w:t>（三）培养方案一经批准，必须严格执行，不得随意改动。如需修改，必须按照学校相关规定办理。</w:t>
      </w:r>
    </w:p>
    <w:p w14:paraId="2175E8FC">
      <w:pPr>
        <w:spacing w:line="480" w:lineRule="exact"/>
        <w:ind w:firstLine="420"/>
        <w:rPr>
          <w:rFonts w:hint="eastAsia" w:ascii="宋体" w:hAnsi="宋体" w:cs="宋体"/>
          <w:sz w:val="28"/>
          <w:szCs w:val="28"/>
        </w:rPr>
      </w:pPr>
      <w:r>
        <w:rPr>
          <w:rFonts w:hint="eastAsia" w:ascii="宋体" w:hAnsi="宋体" w:cs="宋体"/>
          <w:sz w:val="28"/>
          <w:szCs w:val="28"/>
        </w:rPr>
        <w:t>（四）研究生院将对修订（制定）情况进行检查和评估。</w:t>
      </w:r>
    </w:p>
    <w:p w14:paraId="63B9F2E4">
      <w:pPr>
        <w:spacing w:line="480" w:lineRule="exact"/>
        <w:ind w:firstLine="562"/>
        <w:rPr>
          <w:rFonts w:hint="eastAsia" w:ascii="宋体" w:hAnsi="宋体" w:cs="宋体"/>
          <w:b/>
          <w:bCs/>
          <w:sz w:val="28"/>
          <w:szCs w:val="28"/>
        </w:rPr>
      </w:pPr>
      <w:r>
        <w:rPr>
          <w:rFonts w:hint="eastAsia" w:ascii="宋体" w:hAnsi="宋体" w:cs="宋体"/>
          <w:b/>
          <w:bCs/>
          <w:sz w:val="28"/>
          <w:szCs w:val="28"/>
        </w:rPr>
        <w:t>五、工作安排</w:t>
      </w:r>
    </w:p>
    <w:p w14:paraId="27FF2A6A">
      <w:pPr>
        <w:pStyle w:val="193"/>
        <w:spacing w:line="520" w:lineRule="exact"/>
        <w:rPr>
          <w:rFonts w:hint="eastAsia" w:ascii="仿宋_GB2312" w:hAnsi="仿宋_GB2312" w:cs="仿宋_GB2312"/>
          <w:szCs w:val="32"/>
        </w:rPr>
      </w:pPr>
      <w:r>
        <w:rPr>
          <w:rFonts w:hint="eastAsia" w:ascii="宋体" w:hAnsi="宋体" w:cs="宋体"/>
          <w:sz w:val="28"/>
          <w:szCs w:val="28"/>
        </w:rPr>
        <w:t>（一）培养单位组织修订（制定）培养方案（样表见附件2）并完善对应的课程库（附件6），课程库内容除新增课程代码外均必须填写（新增课程由研究生院统一编码）。完成后请各负责人填报《2019年培养方案修订（制定）自查表》（附件7），由各培养单位初审先报送培养方案的预报版至研究生院培养办：2019年5月23日-2019年6月10日。</w:t>
      </w:r>
    </w:p>
    <w:p w14:paraId="5E3C749B">
      <w:pPr>
        <w:spacing w:line="480" w:lineRule="exact"/>
        <w:ind w:firstLine="280"/>
        <w:rPr>
          <w:rFonts w:hint="eastAsia" w:ascii="宋体" w:hAnsi="宋体" w:cs="宋体"/>
          <w:sz w:val="28"/>
          <w:szCs w:val="28"/>
        </w:rPr>
      </w:pPr>
      <w:r>
        <w:rPr>
          <w:rFonts w:hint="eastAsia" w:ascii="宋体" w:hAnsi="宋体" w:cs="宋体"/>
          <w:sz w:val="28"/>
          <w:szCs w:val="28"/>
        </w:rPr>
        <w:t>（二）研究生院组织各培养单位完成系统录入培养方案并在系统上审核培养方案：2019年6月10日-2019年6月20日。</w:t>
      </w:r>
    </w:p>
    <w:p w14:paraId="3C2EEE79">
      <w:pPr>
        <w:spacing w:line="480" w:lineRule="exact"/>
        <w:ind w:firstLine="420"/>
        <w:rPr>
          <w:rFonts w:hint="eastAsia" w:ascii="宋体" w:hAnsi="宋体" w:cs="宋体"/>
          <w:sz w:val="28"/>
          <w:szCs w:val="28"/>
        </w:rPr>
      </w:pPr>
      <w:r>
        <w:rPr>
          <w:rFonts w:hint="eastAsia" w:ascii="宋体" w:hAnsi="宋体" w:cs="宋体"/>
          <w:sz w:val="28"/>
          <w:szCs w:val="28"/>
        </w:rPr>
        <w:t>（三）培养单位填报《中南财经政法大学2019年研究生培养方案修订（制定）情况统计表》（附件1）、经院研究生培养指导委员会主任签字加盖培养单位公章，并附打印审批通过的培养方案和2019年研究生培养方案对应的课程库（附件6），上报研究生院培养办留存备案：2019年6月20日-2019年6月27日。</w:t>
      </w:r>
    </w:p>
    <w:p w14:paraId="74CAD677">
      <w:pPr>
        <w:spacing w:line="480" w:lineRule="exact"/>
        <w:ind w:firstLine="562"/>
        <w:rPr>
          <w:rFonts w:hint="eastAsia" w:ascii="宋体" w:hAnsi="宋体" w:cs="宋体"/>
          <w:b/>
          <w:sz w:val="28"/>
          <w:szCs w:val="28"/>
        </w:rPr>
      </w:pPr>
    </w:p>
    <w:p w14:paraId="43AB1E46">
      <w:pPr>
        <w:spacing w:line="480" w:lineRule="exact"/>
        <w:ind w:firstLine="562"/>
        <w:rPr>
          <w:rFonts w:hint="eastAsia" w:ascii="宋体" w:hAnsi="宋体" w:cs="宋体"/>
          <w:b/>
          <w:sz w:val="28"/>
          <w:szCs w:val="28"/>
        </w:rPr>
      </w:pPr>
      <w:r>
        <w:rPr>
          <w:rFonts w:hint="eastAsia" w:ascii="宋体" w:hAnsi="宋体" w:cs="宋体"/>
          <w:b/>
          <w:sz w:val="28"/>
          <w:szCs w:val="28"/>
        </w:rPr>
        <w:t>六、其他说明</w:t>
      </w:r>
    </w:p>
    <w:p w14:paraId="19370117">
      <w:pPr>
        <w:spacing w:line="480" w:lineRule="exact"/>
        <w:ind w:firstLine="280"/>
        <w:rPr>
          <w:rFonts w:hint="eastAsia" w:ascii="宋体" w:hAnsi="宋体" w:cs="宋体"/>
          <w:sz w:val="28"/>
          <w:szCs w:val="28"/>
        </w:rPr>
      </w:pPr>
      <w:r>
        <w:rPr>
          <w:rFonts w:hint="eastAsia" w:ascii="宋体" w:hAnsi="宋体" w:cs="宋体"/>
          <w:sz w:val="28"/>
          <w:szCs w:val="28"/>
        </w:rPr>
        <w:t>（一）根据2019年研究生招生简章（含留学生），培养办制作了《中南财经政法大学2019年研究生培养方案修订（制定）情况统计表》（附件1），各培养单位预报培养方案的数量应以所列招生专业均有对应培养方案为上报依据。</w:t>
      </w:r>
    </w:p>
    <w:p w14:paraId="12497FC6">
      <w:pPr>
        <w:spacing w:line="480" w:lineRule="exact"/>
        <w:ind w:firstLine="140"/>
        <w:rPr>
          <w:rFonts w:hint="eastAsia" w:ascii="宋体" w:hAnsi="宋体" w:cs="宋体"/>
          <w:sz w:val="28"/>
          <w:szCs w:val="28"/>
        </w:rPr>
      </w:pPr>
      <w:r>
        <w:rPr>
          <w:rFonts w:hint="eastAsia" w:ascii="宋体" w:hAnsi="宋体" w:cs="宋体"/>
          <w:sz w:val="28"/>
          <w:szCs w:val="28"/>
        </w:rPr>
        <w:t>（二）为了保持我校研究生培养方案的格式相对一致，请各位修订（制定）负责人对于样表格式和样表已填写内容不做修改。如延续以往课程名称，可通过课程库查看课程代码和相关信息。</w:t>
      </w:r>
    </w:p>
    <w:p w14:paraId="08936B33">
      <w:pPr>
        <w:spacing w:line="480" w:lineRule="exact"/>
        <w:ind w:firstLine="140"/>
        <w:rPr>
          <w:rFonts w:hint="eastAsia" w:ascii="仿宋_GB2312" w:hAnsi="仿宋_GB2312" w:cs="仿宋_GB2312"/>
          <w:b/>
          <w:szCs w:val="32"/>
        </w:rPr>
      </w:pPr>
      <w:r>
        <w:rPr>
          <w:rFonts w:hint="eastAsia" w:ascii="宋体" w:hAnsi="宋体" w:cs="宋体"/>
          <w:sz w:val="28"/>
          <w:szCs w:val="28"/>
        </w:rPr>
        <w:t>（三）各研究生培养指导委员会和培养单位务必高度重视，做好培养方案修订（制定）工作。如有任何疑问请联系研究生院培养办公室，联系人：卫瑾，联系电话：027-88386680</w:t>
      </w:r>
      <w:r>
        <w:rPr>
          <w:rFonts w:hint="eastAsia"/>
        </w:rPr>
        <w:t>。</w:t>
      </w:r>
      <w:r>
        <w:rPr>
          <w:rFonts w:hint="eastAsia"/>
          <w:color w:val="000000"/>
          <w:sz w:val="22"/>
        </w:rPr>
        <w:t> </w:t>
      </w:r>
    </w:p>
    <w:sectPr>
      <w:pgSz w:w="11906" w:h="16838"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方正小标宋简体">
    <w:altName w:val="方正舒体"/>
    <w:panose1 w:val="020B0604020202020204"/>
    <w:charset w:val="00"/>
    <w:family w:val="auto"/>
    <w:pitch w:val="default"/>
    <w:sig w:usb0="00000000" w:usb1="00000000" w:usb2="00000000" w:usb3="00000000" w:csb0="0000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documentProtection w:enforcement="0"/>
  <w:defaultTabStop w:val="420"/>
  <w:characterSpacingControl w:val="doNotCompress"/>
  <w:compat>
    <w:balanceSingleByteDoubleByteWidth/>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60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5"/>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6"/>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7"/>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8"/>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9"/>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0"/>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1"/>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3"/>
    <w:unhideWhenUsed/>
    <w:qFormat/>
    <w:uiPriority w:val="9"/>
    <w:pPr>
      <w:keepNext/>
      <w:keepLines/>
      <w:spacing w:before="320" w:after="200"/>
      <w:outlineLvl w:val="8"/>
    </w:pPr>
    <w:rPr>
      <w:rFonts w:ascii="等线" w:hAnsi="等线" w:eastAsia="等线" w:cs="等线"/>
      <w:i/>
      <w:iCs/>
      <w:sz w:val="21"/>
      <w:szCs w:val="21"/>
    </w:rPr>
  </w:style>
  <w:style w:type="character" w:default="1" w:styleId="31">
    <w:name w:val="Default Paragraph Font"/>
    <w:semiHidden/>
    <w:unhideWhenUsed/>
    <w:uiPriority w:val="1"/>
  </w:style>
  <w:style w:type="table" w:default="1" w:styleId="29">
    <w:name w:val="Normal Table"/>
    <w:semiHidden/>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Body Text Indent 2"/>
    <w:basedOn w:val="1"/>
    <w:link w:val="190"/>
    <w:uiPriority w:val="0"/>
    <w:pPr>
      <w:spacing w:line="360" w:lineRule="auto"/>
      <w:ind w:firstLine="480"/>
    </w:pPr>
    <w:rPr>
      <w:sz w:val="20"/>
      <w:szCs w:val="20"/>
      <w:lang w:val="en-US" w:eastAsia="en-US"/>
    </w:rPr>
  </w:style>
  <w:style w:type="paragraph" w:styleId="17">
    <w:name w:val="endnote text"/>
    <w:basedOn w:val="1"/>
    <w:link w:val="181"/>
    <w:semiHidden/>
    <w:unhideWhenUsed/>
    <w:uiPriority w:val="99"/>
    <w:pPr>
      <w:spacing w:after="0" w:line="240" w:lineRule="auto"/>
    </w:pPr>
    <w:rPr>
      <w:sz w:val="20"/>
    </w:rPr>
  </w:style>
  <w:style w:type="paragraph" w:styleId="18">
    <w:name w:val="footer"/>
    <w:basedOn w:val="1"/>
    <w:link w:val="54"/>
    <w:unhideWhenUsed/>
    <w:qFormat/>
    <w:uiPriority w:val="99"/>
    <w:pPr>
      <w:tabs>
        <w:tab w:val="center" w:pos="7143"/>
        <w:tab w:val="right" w:pos="14287"/>
      </w:tabs>
      <w:spacing w:after="0" w:line="240" w:lineRule="auto"/>
    </w:pPr>
  </w:style>
  <w:style w:type="paragraph" w:styleId="19">
    <w:name w:val="header"/>
    <w:basedOn w:val="1"/>
    <w:link w:val="52"/>
    <w:unhideWhenUsed/>
    <w:uiPriority w:val="99"/>
    <w:pPr>
      <w:tabs>
        <w:tab w:val="center" w:pos="7143"/>
        <w:tab w:val="right" w:pos="14287"/>
      </w:tabs>
      <w:spacing w:after="0" w:line="240" w:lineRule="auto"/>
    </w:pPr>
  </w:style>
  <w:style w:type="paragraph" w:styleId="20">
    <w:name w:val="toc 1"/>
    <w:basedOn w:val="1"/>
    <w:next w:val="1"/>
    <w:unhideWhenUsed/>
    <w:uiPriority w:val="39"/>
    <w:pPr>
      <w:spacing w:after="57"/>
      <w:ind w:left="0" w:right="0" w:firstLine="0"/>
    </w:pPr>
  </w:style>
  <w:style w:type="paragraph" w:styleId="21">
    <w:name w:val="toc 4"/>
    <w:basedOn w:val="1"/>
    <w:next w:val="1"/>
    <w:unhideWhenUsed/>
    <w:uiPriority w:val="39"/>
    <w:pPr>
      <w:spacing w:after="57"/>
      <w:ind w:left="850" w:right="0" w:firstLine="0"/>
    </w:pPr>
  </w:style>
  <w:style w:type="paragraph" w:styleId="22">
    <w:name w:val="Subtitle"/>
    <w:basedOn w:val="1"/>
    <w:next w:val="1"/>
    <w:link w:val="47"/>
    <w:qFormat/>
    <w:uiPriority w:val="11"/>
    <w:pPr>
      <w:spacing w:before="200" w:after="200"/>
    </w:pPr>
    <w:rPr>
      <w:sz w:val="24"/>
      <w:szCs w:val="24"/>
    </w:rPr>
  </w:style>
  <w:style w:type="paragraph" w:styleId="23">
    <w:name w:val="footnote text"/>
    <w:basedOn w:val="1"/>
    <w:link w:val="180"/>
    <w:semiHidden/>
    <w:unhideWhenUsed/>
    <w:uiPriority w:val="99"/>
    <w:pPr>
      <w:spacing w:after="40" w:line="240" w:lineRule="auto"/>
    </w:pPr>
    <w:rPr>
      <w:sz w:val="18"/>
    </w:r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2"/>
    <w:basedOn w:val="1"/>
    <w:next w:val="1"/>
    <w:unhideWhenUsed/>
    <w:uiPriority w:val="39"/>
    <w:pPr>
      <w:spacing w:after="57"/>
      <w:ind w:left="283" w:right="0" w:firstLine="0"/>
    </w:pPr>
  </w:style>
  <w:style w:type="paragraph" w:styleId="27">
    <w:name w:val="toc 9"/>
    <w:basedOn w:val="1"/>
    <w:next w:val="1"/>
    <w:unhideWhenUsed/>
    <w:uiPriority w:val="39"/>
    <w:pPr>
      <w:spacing w:after="57"/>
      <w:ind w:left="2268" w:right="0" w:firstLine="0"/>
    </w:pPr>
  </w:style>
  <w:style w:type="paragraph" w:styleId="28">
    <w:name w:val="Title"/>
    <w:basedOn w:val="1"/>
    <w:next w:val="1"/>
    <w:link w:val="46"/>
    <w:qFormat/>
    <w:uiPriority w:val="10"/>
    <w:pPr>
      <w:spacing w:before="300" w:after="200"/>
      <w:contextualSpacing/>
    </w:pPr>
    <w:rPr>
      <w:sz w:val="48"/>
      <w:szCs w:val="48"/>
    </w:rPr>
  </w:style>
  <w:style w:type="table" w:styleId="3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2">
    <w:name w:val="endnote reference"/>
    <w:semiHidden/>
    <w:unhideWhenUsed/>
    <w:uiPriority w:val="99"/>
    <w:rPr>
      <w:vertAlign w:val="superscript"/>
    </w:rPr>
  </w:style>
  <w:style w:type="character" w:styleId="33">
    <w:name w:val="Hyperlink"/>
    <w:unhideWhenUsed/>
    <w:uiPriority w:val="99"/>
    <w:rPr>
      <w:color w:val="0000FF" w:themeColor="hyperlink"/>
      <w:u w:val="single"/>
    </w:rPr>
  </w:style>
  <w:style w:type="character" w:styleId="34">
    <w:name w:val="footnote reference"/>
    <w:unhideWhenUsed/>
    <w:uiPriority w:val="99"/>
    <w:rPr>
      <w:vertAlign w:val="superscript"/>
    </w:rPr>
  </w:style>
  <w:style w:type="character" w:customStyle="1" w:styleId="35">
    <w:name w:val="Heading 1 Char"/>
    <w:link w:val="2"/>
    <w:uiPriority w:val="9"/>
    <w:rPr>
      <w:rFonts w:ascii="等线" w:hAnsi="等线" w:eastAsia="等线" w:cs="等线"/>
      <w:sz w:val="40"/>
      <w:szCs w:val="40"/>
    </w:rPr>
  </w:style>
  <w:style w:type="character" w:customStyle="1" w:styleId="36">
    <w:name w:val="Heading 2 Char"/>
    <w:link w:val="3"/>
    <w:uiPriority w:val="9"/>
    <w:rPr>
      <w:rFonts w:ascii="等线" w:hAnsi="等线" w:eastAsia="等线" w:cs="等线"/>
      <w:sz w:val="34"/>
    </w:rPr>
  </w:style>
  <w:style w:type="character" w:customStyle="1" w:styleId="37">
    <w:name w:val="Heading 3 Char"/>
    <w:link w:val="4"/>
    <w:uiPriority w:val="9"/>
    <w:rPr>
      <w:rFonts w:ascii="等线" w:hAnsi="等线" w:eastAsia="等线" w:cs="等线"/>
      <w:sz w:val="30"/>
      <w:szCs w:val="30"/>
    </w:rPr>
  </w:style>
  <w:style w:type="character" w:customStyle="1" w:styleId="38">
    <w:name w:val="Heading 4 Char"/>
    <w:link w:val="5"/>
    <w:uiPriority w:val="9"/>
    <w:rPr>
      <w:rFonts w:ascii="等线" w:hAnsi="等线" w:eastAsia="等线" w:cs="等线"/>
      <w:b/>
      <w:bCs/>
      <w:sz w:val="26"/>
      <w:szCs w:val="26"/>
    </w:rPr>
  </w:style>
  <w:style w:type="character" w:customStyle="1" w:styleId="39">
    <w:name w:val="Heading 5 Char"/>
    <w:link w:val="6"/>
    <w:uiPriority w:val="9"/>
    <w:rPr>
      <w:rFonts w:ascii="等线" w:hAnsi="等线" w:eastAsia="等线" w:cs="等线"/>
      <w:b/>
      <w:bCs/>
      <w:sz w:val="24"/>
      <w:szCs w:val="24"/>
    </w:rPr>
  </w:style>
  <w:style w:type="character" w:customStyle="1" w:styleId="40">
    <w:name w:val="Heading 6 Char"/>
    <w:link w:val="7"/>
    <w:uiPriority w:val="9"/>
    <w:rPr>
      <w:rFonts w:ascii="等线" w:hAnsi="等线" w:eastAsia="等线" w:cs="等线"/>
      <w:b/>
      <w:bCs/>
      <w:sz w:val="22"/>
      <w:szCs w:val="22"/>
    </w:rPr>
  </w:style>
  <w:style w:type="character" w:customStyle="1" w:styleId="41">
    <w:name w:val="Heading 7 Char"/>
    <w:link w:val="8"/>
    <w:uiPriority w:val="9"/>
    <w:rPr>
      <w:rFonts w:ascii="等线" w:hAnsi="等线" w:eastAsia="等线" w:cs="等线"/>
      <w:b/>
      <w:bCs/>
      <w:i/>
      <w:iCs/>
      <w:sz w:val="22"/>
      <w:szCs w:val="22"/>
    </w:rPr>
  </w:style>
  <w:style w:type="character" w:customStyle="1" w:styleId="42">
    <w:name w:val="Heading 8 Char"/>
    <w:link w:val="9"/>
    <w:uiPriority w:val="9"/>
    <w:rPr>
      <w:rFonts w:ascii="等线" w:hAnsi="等线" w:eastAsia="等线" w:cs="等线"/>
      <w:i/>
      <w:iCs/>
      <w:sz w:val="22"/>
      <w:szCs w:val="22"/>
    </w:rPr>
  </w:style>
  <w:style w:type="character" w:customStyle="1" w:styleId="43">
    <w:name w:val="Heading 9 Char"/>
    <w:link w:val="10"/>
    <w:uiPriority w:val="9"/>
    <w:rPr>
      <w:rFonts w:ascii="等线" w:hAnsi="等线" w:eastAsia="等线" w:cs="等线"/>
      <w:i/>
      <w:iCs/>
      <w:sz w:val="21"/>
      <w:szCs w:val="21"/>
    </w:rPr>
  </w:style>
  <w:style w:type="paragraph" w:styleId="44">
    <w:name w:val="List Paragraph"/>
    <w:basedOn w:val="1"/>
    <w:qFormat/>
    <w:uiPriority w:val="34"/>
    <w:pPr>
      <w:ind w:left="720"/>
      <w:contextualSpacing/>
    </w:pPr>
  </w:style>
  <w:style w:type="paragraph" w:styleId="45">
    <w:name w:val="No Spacing"/>
    <w:qFormat/>
    <w:uiPriority w:val="1"/>
    <w:pPr>
      <w:spacing w:before="0" w:after="0" w:line="240" w:lineRule="auto"/>
    </w:pPr>
    <w:rPr>
      <w:rFonts w:hint="default" w:ascii="Times New Roman" w:hAnsi="Times New Roman" w:eastAsia="宋体" w:cs="Times New Roman"/>
    </w:rPr>
  </w:style>
  <w:style w:type="character" w:customStyle="1" w:styleId="46">
    <w:name w:val="Title Char"/>
    <w:link w:val="28"/>
    <w:uiPriority w:val="10"/>
    <w:rPr>
      <w:sz w:val="48"/>
      <w:szCs w:val="48"/>
    </w:rPr>
  </w:style>
  <w:style w:type="character" w:customStyle="1" w:styleId="47">
    <w:name w:val="Subtitle Char"/>
    <w:link w:val="22"/>
    <w:uiPriority w:val="11"/>
    <w:rPr>
      <w:sz w:val="24"/>
      <w:szCs w:val="24"/>
    </w:rPr>
  </w:style>
  <w:style w:type="paragraph" w:styleId="48">
    <w:name w:val="Quote"/>
    <w:basedOn w:val="1"/>
    <w:next w:val="1"/>
    <w:link w:val="49"/>
    <w:qFormat/>
    <w:uiPriority w:val="29"/>
    <w:pPr>
      <w:ind w:left="720" w:right="720"/>
    </w:pPr>
    <w:rPr>
      <w:i/>
    </w:rPr>
  </w:style>
  <w:style w:type="character" w:customStyle="1" w:styleId="49">
    <w:name w:val="Quote Char"/>
    <w:link w:val="48"/>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link w:val="19"/>
    <w:uiPriority w:val="99"/>
  </w:style>
  <w:style w:type="character" w:customStyle="1" w:styleId="53">
    <w:name w:val="Footer Char"/>
    <w:link w:val="18"/>
    <w:uiPriority w:val="99"/>
  </w:style>
  <w:style w:type="character" w:customStyle="1" w:styleId="54">
    <w:name w:val="Caption Char"/>
    <w:link w:val="18"/>
    <w:uiPriority w:val="99"/>
  </w:style>
  <w:style w:type="table" w:customStyle="1" w:styleId="55">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3"/>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4"/>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Plain Table 5"/>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6">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10">
    <w:name w:val="List Table 1 Ligh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1"/>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2"/>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3"/>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4"/>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5"/>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1 Light - Accent 6"/>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8">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9">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40">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1">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2">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4">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5">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8">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9">
    <w:name w:val="Lined - Accen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0">
    <w:name w:val="Lined - Accent 1"/>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1">
    <w:name w:val="Lined - Accent 2"/>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2">
    <w:name w:val="Lined - Accent 3"/>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4"/>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5"/>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5">
    <w:name w:val="Lined - Accent 6"/>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6">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7">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8">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9">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2">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3">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9">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0">
    <w:name w:val="Footnote Text Char"/>
    <w:link w:val="23"/>
    <w:uiPriority w:val="99"/>
    <w:rPr>
      <w:sz w:val="18"/>
    </w:rPr>
  </w:style>
  <w:style w:type="character" w:customStyle="1" w:styleId="181">
    <w:name w:val="Endnote Text Char"/>
    <w:link w:val="17"/>
    <w:uiPriority w:val="99"/>
    <w:rPr>
      <w:sz w:val="20"/>
    </w:rPr>
  </w:style>
  <w:style w:type="paragraph" w:customStyle="1" w:styleId="182">
    <w:name w:val="TOC Heading"/>
    <w:unhideWhenUsed/>
    <w:uiPriority w:val="39"/>
    <w:rPr>
      <w:rFonts w:hint="default" w:ascii="Times New Roman" w:hAnsi="Times New Roman" w:eastAsia="宋体" w:cs="Times New Roman"/>
    </w:rPr>
  </w:style>
  <w:style w:type="character" w:customStyle="1" w:styleId="183">
    <w:name w:val="默认段落字体1"/>
    <w:link w:val="1"/>
    <w:uiPriority w:val="0"/>
  </w:style>
  <w:style w:type="table" w:customStyle="1" w:styleId="184">
    <w:name w:val="普通表格1"/>
    <w:unhideWhenUsed/>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85">
    <w:name w:val="批注框文本 Char"/>
    <w:link w:val="186"/>
    <w:semiHidden/>
    <w:uiPriority w:val="99"/>
    <w:rPr>
      <w:rFonts w:ascii="Calibri" w:hAnsi="Calibri"/>
      <w:sz w:val="18"/>
      <w:szCs w:val="18"/>
    </w:rPr>
  </w:style>
  <w:style w:type="paragraph" w:customStyle="1" w:styleId="186">
    <w:name w:val="批注框文本1"/>
    <w:basedOn w:val="1"/>
    <w:link w:val="185"/>
    <w:unhideWhenUsed/>
    <w:uiPriority w:val="99"/>
    <w:rPr>
      <w:sz w:val="18"/>
      <w:szCs w:val="18"/>
      <w:lang w:val="en-US" w:eastAsia="en-US"/>
    </w:rPr>
  </w:style>
  <w:style w:type="character" w:customStyle="1" w:styleId="187">
    <w:name w:val="页脚 Char"/>
    <w:link w:val="188"/>
    <w:uiPriority w:val="0"/>
    <w:rPr>
      <w:rFonts w:ascii="Calibri" w:hAnsi="Calibri" w:eastAsia="宋体" w:cs="Times New Roman"/>
      <w:sz w:val="18"/>
      <w:szCs w:val="18"/>
    </w:rPr>
  </w:style>
  <w:style w:type="paragraph" w:customStyle="1" w:styleId="188">
    <w:name w:val="页脚1"/>
    <w:basedOn w:val="1"/>
    <w:link w:val="187"/>
    <w:uiPriority w:val="0"/>
    <w:pPr>
      <w:tabs>
        <w:tab w:val="center" w:pos="4153"/>
        <w:tab w:val="right" w:pos="8306"/>
      </w:tabs>
      <w:jc w:val="left"/>
    </w:pPr>
    <w:rPr>
      <w:sz w:val="18"/>
      <w:szCs w:val="18"/>
      <w:lang w:val="en-US" w:eastAsia="en-US"/>
    </w:rPr>
  </w:style>
  <w:style w:type="character" w:customStyle="1" w:styleId="189">
    <w:name w:val="正文文本缩进 2 Char"/>
    <w:link w:val="1"/>
    <w:uiPriority w:val="0"/>
    <w:rPr>
      <w:rFonts w:eastAsia="宋体"/>
      <w:sz w:val="24"/>
      <w:szCs w:val="24"/>
    </w:rPr>
  </w:style>
  <w:style w:type="character" w:customStyle="1" w:styleId="190">
    <w:name w:val="正文文本缩进 2 Char1"/>
    <w:link w:val="16"/>
    <w:uiPriority w:val="0"/>
    <w:rPr>
      <w:rFonts w:ascii="Calibri" w:hAnsi="Calibri" w:eastAsia="宋体" w:cs="Times New Roman"/>
    </w:rPr>
  </w:style>
  <w:style w:type="character" w:customStyle="1" w:styleId="191">
    <w:name w:val="页眉 Char"/>
    <w:link w:val="192"/>
    <w:uiPriority w:val="0"/>
    <w:rPr>
      <w:rFonts w:ascii="Calibri" w:hAnsi="Calibri" w:eastAsia="宋体" w:cs="Times New Roman"/>
      <w:sz w:val="18"/>
      <w:szCs w:val="18"/>
    </w:rPr>
  </w:style>
  <w:style w:type="paragraph" w:customStyle="1" w:styleId="192">
    <w:name w:val="页眉1"/>
    <w:basedOn w:val="1"/>
    <w:link w:val="191"/>
    <w:uiPriority w:val="0"/>
    <w:pPr>
      <w:pBdr>
        <w:bottom w:val="single" w:color="000000" w:sz="6" w:space="1"/>
      </w:pBdr>
      <w:tabs>
        <w:tab w:val="center" w:pos="4153"/>
        <w:tab w:val="right" w:pos="8306"/>
      </w:tabs>
      <w:jc w:val="center"/>
    </w:pPr>
    <w:rPr>
      <w:sz w:val="18"/>
      <w:szCs w:val="18"/>
      <w:lang w:val="en-US" w:eastAsia="en-US"/>
    </w:rPr>
  </w:style>
  <w:style w:type="paragraph" w:customStyle="1" w:styleId="193">
    <w:name w:val="正文缩进1"/>
    <w:basedOn w:val="1"/>
    <w:uiPriority w:val="0"/>
    <w:pPr>
      <w:ind w:firstLine="420"/>
    </w:pPr>
  </w:style>
  <w:style w:type="paragraph" w:customStyle="1" w:styleId="194">
    <w:name w:val=" Char"/>
    <w:basedOn w:val="1"/>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5626</Words>
  <Characters>5840</Characters>
  <TotalTime>1</TotalTime>
  <ScaleCrop>false</ScaleCrop>
  <LinksUpToDate>false</LinksUpToDate>
  <CharactersWithSpaces>5865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2016-04-07T01:34:00Z</dcterms:created>
  <dc:creator>李勇泉</dc:creator>
  <cp:lastModifiedBy>Administrator</cp:lastModifiedBy>
  <dcterms:modified xsi:type="dcterms:W3CDTF">2025-04-03T03:12:40Z</dcterms:modified>
  <dc:title>Administrator</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eyJoZGlkIjoiNzI3ZGFjYmY2ODg0ZGRiYTdkMzM0YWRjZDgxZThiM2UifQ==</vt:lpwstr>
  </property>
  <property fmtid="{D5CDD505-2E9C-101B-9397-08002B2CF9AE}" pid="3" name="KSOProductBuildVer">
    <vt:lpwstr>2052-12.1.0.20305</vt:lpwstr>
  </property>
  <property fmtid="{D5CDD505-2E9C-101B-9397-08002B2CF9AE}" pid="4" name="ICV">
    <vt:lpwstr>1A86A4DF0F014D3C8375AE3D8C150D2D_12</vt:lpwstr>
  </property>
</Properties>
</file>