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863669">
      <w:pPr>
        <w:rPr>
          <w:rFonts w:ascii="黑体" w:hAnsi="仿宋" w:eastAsia="黑体"/>
          <w:b/>
          <w:bCs/>
          <w:color w:val="000000"/>
          <w:sz w:val="32"/>
          <w:szCs w:val="32"/>
        </w:rPr>
      </w:pPr>
      <w:r>
        <w:rPr>
          <w:rFonts w:hint="eastAsia" w:ascii="黑体" w:hAnsi="仿宋" w:eastAsia="黑体"/>
          <w:b/>
          <w:bCs/>
          <w:color w:val="000000"/>
          <w:sz w:val="32"/>
          <w:szCs w:val="32"/>
        </w:rPr>
        <w:t>附件三:</w:t>
      </w:r>
    </w:p>
    <w:p w14:paraId="3CCCD9BC">
      <w:pPr>
        <w:jc w:val="center"/>
        <w:rPr>
          <w:rFonts w:ascii="宋体" w:hAnsi="宋体"/>
          <w:b/>
          <w:bCs/>
          <w:sz w:val="44"/>
          <w:szCs w:val="44"/>
        </w:rPr>
      </w:pPr>
      <w:r>
        <w:rPr>
          <w:rFonts w:hint="eastAsia" w:ascii="宋体" w:hAnsi="宋体"/>
          <w:b/>
          <w:bCs/>
          <w:spacing w:val="0"/>
          <w:w w:val="95"/>
          <w:kern w:val="0"/>
          <w:sz w:val="44"/>
          <w:szCs w:val="44"/>
          <w:fitText w:val="8800" w:id="1600835379"/>
        </w:rPr>
        <w:t>中南财经政法大学研究生会“思</w:t>
      </w:r>
      <w:r>
        <w:rPr>
          <w:rFonts w:hint="eastAsia" w:ascii="宋体" w:hAnsi="宋体"/>
          <w:b/>
          <w:bCs/>
          <w:spacing w:val="0"/>
          <w:w w:val="95"/>
          <w:kern w:val="0"/>
          <w:sz w:val="44"/>
          <w:szCs w:val="44"/>
          <w:fitText w:val="8800" w:id="1600835379"/>
          <w:lang w:val="en-US" w:eastAsia="zh-CN"/>
        </w:rPr>
        <w:t>想</w:t>
      </w:r>
      <w:r>
        <w:rPr>
          <w:rFonts w:hint="eastAsia" w:ascii="宋体" w:hAnsi="宋体"/>
          <w:b/>
          <w:bCs/>
          <w:spacing w:val="0"/>
          <w:w w:val="95"/>
          <w:kern w:val="0"/>
          <w:sz w:val="44"/>
          <w:szCs w:val="44"/>
          <w:fitText w:val="8800" w:id="1600835379"/>
        </w:rPr>
        <w:t>引领单项奖</w:t>
      </w:r>
      <w:r>
        <w:rPr>
          <w:rFonts w:hint="eastAsia" w:ascii="宋体" w:hAnsi="宋体"/>
          <w:b/>
          <w:bCs/>
          <w:spacing w:val="-17"/>
          <w:w w:val="95"/>
          <w:kern w:val="0"/>
          <w:sz w:val="44"/>
          <w:szCs w:val="44"/>
          <w:fitText w:val="8800" w:id="1600835379"/>
        </w:rPr>
        <w:t>”</w:t>
      </w:r>
      <w:r>
        <w:rPr>
          <w:rFonts w:hint="eastAsia" w:ascii="宋体" w:hAnsi="宋体"/>
          <w:b/>
          <w:bCs/>
          <w:sz w:val="44"/>
          <w:szCs w:val="44"/>
        </w:rPr>
        <w:t>评分细则及申报表</w:t>
      </w:r>
    </w:p>
    <w:p w14:paraId="53C09F33">
      <w:pPr>
        <w:pStyle w:val="7"/>
        <w:adjustRightInd w:val="0"/>
        <w:ind w:firstLine="643" w:firstLineChars="200"/>
        <w:rPr>
          <w:rFonts w:ascii="仿宋" w:hAnsi="仿宋" w:eastAsia="仿宋" w:cs="仿宋_GB2312"/>
          <w:b/>
          <w:sz w:val="32"/>
          <w:szCs w:val="32"/>
        </w:rPr>
      </w:pPr>
      <w:r>
        <w:rPr>
          <w:rFonts w:hint="eastAsia" w:ascii="仿宋" w:hAnsi="仿宋" w:eastAsia="仿宋" w:cs="仿宋_GB2312"/>
          <w:b/>
          <w:sz w:val="32"/>
          <w:szCs w:val="32"/>
        </w:rPr>
        <w:t>一、明确职能定位（</w:t>
      </w:r>
      <w:r>
        <w:rPr>
          <w:rFonts w:ascii="Times New Roman Regular" w:hAnsi="Times New Roman Regular" w:eastAsia="仿宋" w:cs="Times New Roman Regular"/>
          <w:b/>
          <w:sz w:val="32"/>
          <w:szCs w:val="32"/>
        </w:rPr>
        <w:t>12</w:t>
      </w:r>
      <w:r>
        <w:rPr>
          <w:rFonts w:hint="eastAsia" w:ascii="仿宋" w:hAnsi="仿宋" w:eastAsia="仿宋" w:cs="仿宋_GB2312"/>
          <w:b/>
          <w:sz w:val="32"/>
          <w:szCs w:val="32"/>
        </w:rPr>
        <w:t>分）</w:t>
      </w:r>
    </w:p>
    <w:p w14:paraId="5CE3D008">
      <w:pPr>
        <w:pStyle w:val="7"/>
        <w:adjustRightInd w:val="0"/>
        <w:ind w:firstLine="640" w:firstLineChars="200"/>
        <w:rPr>
          <w:rFonts w:ascii="仿宋" w:hAnsi="仿宋" w:eastAsia="仿宋" w:cs="仿宋_GB2312"/>
          <w:bCs/>
          <w:sz w:val="32"/>
          <w:szCs w:val="32"/>
        </w:rPr>
      </w:pPr>
      <w:r>
        <w:rPr>
          <w:rFonts w:hint="eastAsia" w:ascii="仿宋" w:hAnsi="仿宋" w:eastAsia="仿宋" w:cs="仿宋_GB2312"/>
          <w:bCs/>
          <w:sz w:val="32"/>
          <w:szCs w:val="32"/>
        </w:rPr>
        <w:t>作为党领导下的重要学生组织，学院研究生会以习近平新时代中国特色社会主义思想为指导，贯彻落实全国教育大会精神，全面学习习近平总书记关于青年工作的重要思想，以强化思</w:t>
      </w:r>
      <w:r>
        <w:rPr>
          <w:rFonts w:hint="eastAsia" w:ascii="仿宋" w:hAnsi="仿宋" w:eastAsia="仿宋" w:cs="仿宋_GB2312"/>
          <w:bCs/>
          <w:sz w:val="32"/>
          <w:szCs w:val="32"/>
          <w:lang w:val="en-US" w:eastAsia="zh-CN"/>
        </w:rPr>
        <w:t>想</w:t>
      </w:r>
      <w:r>
        <w:rPr>
          <w:rFonts w:hint="eastAsia" w:ascii="仿宋" w:hAnsi="仿宋" w:eastAsia="仿宋" w:cs="仿宋_GB2312"/>
          <w:bCs/>
          <w:sz w:val="32"/>
          <w:szCs w:val="32"/>
        </w:rPr>
        <w:t>引领为核心使命，以服务青年成长为价值追求，秉持全心全意为同学服务的宗旨，及时向同学传达党的最新精神与主张</w:t>
      </w:r>
      <w:r>
        <w:rPr>
          <w:rFonts w:hint="eastAsia" w:ascii="仿宋" w:hAnsi="仿宋" w:eastAsia="仿宋" w:cs="仿宋_GB2312"/>
          <w:bCs/>
          <w:sz w:val="32"/>
          <w:szCs w:val="32"/>
          <w:lang w:eastAsia="zh-CN"/>
        </w:rPr>
        <w:t>，</w:t>
      </w:r>
      <w:r>
        <w:rPr>
          <w:rFonts w:hint="eastAsia" w:ascii="仿宋" w:hAnsi="仿宋" w:eastAsia="仿宋" w:cs="仿宋_GB2312"/>
          <w:bCs/>
          <w:sz w:val="32"/>
          <w:szCs w:val="32"/>
        </w:rPr>
        <w:t>切实发挥学校联系广大同学的桥梁纽带作用。引导广大同学积极将个人理想融入到以中国式现代化全面推进强国建设、民族复兴伟业的奋斗之中。（</w:t>
      </w:r>
      <w:r>
        <w:rPr>
          <w:rFonts w:ascii="Times New Roman Regular" w:hAnsi="Times New Roman Regular" w:eastAsia="仿宋" w:cs="Times New Roman Regular"/>
          <w:bCs/>
          <w:sz w:val="32"/>
          <w:szCs w:val="32"/>
        </w:rPr>
        <w:t>6</w:t>
      </w:r>
      <w:r>
        <w:rPr>
          <w:rFonts w:hint="eastAsia" w:ascii="仿宋" w:hAnsi="仿宋" w:eastAsia="仿宋" w:cs="仿宋_GB2312"/>
          <w:bCs/>
          <w:sz w:val="32"/>
          <w:szCs w:val="32"/>
        </w:rPr>
        <w:t>分）</w:t>
      </w:r>
    </w:p>
    <w:p w14:paraId="36FE2066">
      <w:pPr>
        <w:pStyle w:val="7"/>
        <w:adjustRightInd w:val="0"/>
        <w:ind w:firstLine="640" w:firstLineChars="200"/>
        <w:rPr>
          <w:rFonts w:ascii="仿宋" w:hAnsi="仿宋" w:eastAsia="仿宋" w:cs="仿宋_GB2312"/>
          <w:bCs/>
          <w:sz w:val="32"/>
          <w:szCs w:val="32"/>
        </w:rPr>
      </w:pPr>
      <w:r>
        <w:rPr>
          <w:rFonts w:hint="eastAsia" w:ascii="仿宋" w:hAnsi="仿宋" w:eastAsia="仿宋" w:cs="仿宋_GB2312"/>
          <w:bCs/>
          <w:sz w:val="32"/>
          <w:szCs w:val="32"/>
        </w:rPr>
        <w:t>学院研究生会所在培养单位党委持续关心、关注研究生会工作，给予及时必要的指导，主要分管领导定期听取学院研究生会工作情况汇报，每学期不少于</w:t>
      </w:r>
      <w:r>
        <w:rPr>
          <w:rFonts w:ascii="Times New Roman Regular" w:hAnsi="Times New Roman Regular" w:eastAsia="仿宋" w:cs="Times New Roman Regular"/>
          <w:bCs/>
          <w:sz w:val="32"/>
          <w:szCs w:val="32"/>
        </w:rPr>
        <w:t>1</w:t>
      </w:r>
      <w:r>
        <w:rPr>
          <w:rFonts w:hint="eastAsia" w:ascii="仿宋" w:hAnsi="仿宋" w:eastAsia="仿宋" w:cs="仿宋_GB2312"/>
          <w:bCs/>
          <w:sz w:val="32"/>
          <w:szCs w:val="32"/>
        </w:rPr>
        <w:t>次。学院党委主要负责同志通过专题党课、集体谈话、座谈会等形式加强对学院研究生会工作人员的思想政治教育。（</w:t>
      </w:r>
      <w:r>
        <w:rPr>
          <w:rFonts w:ascii="Times New Roman Regular" w:hAnsi="Times New Roman Regular" w:eastAsia="仿宋" w:cs="Times New Roman Regular"/>
          <w:bCs/>
          <w:sz w:val="32"/>
          <w:szCs w:val="32"/>
        </w:rPr>
        <w:t>6</w:t>
      </w:r>
      <w:r>
        <w:rPr>
          <w:rFonts w:hint="eastAsia" w:ascii="仿宋" w:hAnsi="仿宋" w:eastAsia="仿宋" w:cs="仿宋_GB2312"/>
          <w:bCs/>
          <w:sz w:val="32"/>
          <w:szCs w:val="32"/>
        </w:rPr>
        <w:t>分）</w:t>
      </w:r>
    </w:p>
    <w:p w14:paraId="56562747">
      <w:pPr>
        <w:pStyle w:val="7"/>
        <w:adjustRightInd w:val="0"/>
        <w:ind w:firstLine="643" w:firstLineChars="200"/>
        <w:rPr>
          <w:rFonts w:ascii="仿宋" w:hAnsi="仿宋" w:eastAsia="仿宋" w:cs="仿宋_GB2312"/>
          <w:b/>
          <w:sz w:val="32"/>
          <w:szCs w:val="32"/>
        </w:rPr>
      </w:pPr>
      <w:r>
        <w:rPr>
          <w:rFonts w:hint="eastAsia" w:ascii="仿宋" w:hAnsi="仿宋" w:eastAsia="仿宋" w:cs="仿宋_GB2312"/>
          <w:b/>
          <w:sz w:val="32"/>
          <w:szCs w:val="32"/>
        </w:rPr>
        <w:t>二、把牢政治方向（</w:t>
      </w:r>
      <w:r>
        <w:rPr>
          <w:rFonts w:ascii="Times New Roman Regular" w:hAnsi="Times New Roman Regular" w:eastAsia="仿宋" w:cs="Times New Roman Regular"/>
          <w:b/>
          <w:sz w:val="32"/>
          <w:szCs w:val="32"/>
        </w:rPr>
        <w:t>48</w:t>
      </w:r>
      <w:r>
        <w:rPr>
          <w:rFonts w:hint="eastAsia" w:ascii="仿宋" w:hAnsi="仿宋" w:eastAsia="仿宋" w:cs="仿宋_GB2312"/>
          <w:b/>
          <w:sz w:val="32"/>
          <w:szCs w:val="32"/>
        </w:rPr>
        <w:t>分）</w:t>
      </w:r>
    </w:p>
    <w:p w14:paraId="5A7AB0CC">
      <w:pPr>
        <w:pStyle w:val="7"/>
        <w:adjustRightInd w:val="0"/>
        <w:ind w:firstLine="643" w:firstLineChars="200"/>
        <w:rPr>
          <w:rFonts w:ascii="仿宋" w:hAnsi="仿宋" w:eastAsia="仿宋" w:cs="仿宋_GB2312"/>
          <w:b/>
          <w:sz w:val="32"/>
          <w:szCs w:val="32"/>
        </w:rPr>
      </w:pPr>
      <w:r>
        <w:rPr>
          <w:rFonts w:hint="eastAsia" w:ascii="仿宋" w:hAnsi="仿宋" w:eastAsia="仿宋" w:cs="仿宋_GB2312"/>
          <w:b/>
          <w:sz w:val="32"/>
          <w:szCs w:val="32"/>
        </w:rPr>
        <w:t>（一）思想建设（</w:t>
      </w:r>
      <w:r>
        <w:rPr>
          <w:rFonts w:ascii="Times New Roman Regular" w:hAnsi="Times New Roman Regular" w:eastAsia="仿宋" w:cs="Times New Roman Regular"/>
          <w:b/>
          <w:sz w:val="32"/>
          <w:szCs w:val="32"/>
        </w:rPr>
        <w:t>12</w:t>
      </w:r>
      <w:r>
        <w:rPr>
          <w:rFonts w:hint="eastAsia" w:ascii="仿宋" w:hAnsi="仿宋" w:eastAsia="仿宋" w:cs="仿宋_GB2312"/>
          <w:b/>
          <w:sz w:val="32"/>
          <w:szCs w:val="32"/>
        </w:rPr>
        <w:t>分）</w:t>
      </w:r>
    </w:p>
    <w:p w14:paraId="37764AD8">
      <w:pPr>
        <w:pStyle w:val="7"/>
        <w:adjustRightInd w:val="0"/>
        <w:ind w:firstLine="640" w:firstLineChars="200"/>
        <w:rPr>
          <w:rFonts w:ascii="仿宋" w:hAnsi="仿宋" w:eastAsia="仿宋" w:cs="仿宋_GB2312"/>
          <w:bCs/>
          <w:sz w:val="32"/>
          <w:szCs w:val="32"/>
        </w:rPr>
      </w:pPr>
      <w:r>
        <w:rPr>
          <w:rFonts w:hint="eastAsia" w:ascii="仿宋" w:hAnsi="仿宋" w:eastAsia="仿宋" w:cs="仿宋_GB2312"/>
          <w:bCs/>
          <w:sz w:val="32"/>
          <w:szCs w:val="32"/>
        </w:rPr>
        <w:t>在组织建设与活动开展中，强化思政育人实效，紧密结合时事热点，引领广大研究生深入学习习近平总书记关于青年工作与教育工作的重要论述，积极助力实施新时代立德树人工程，</w:t>
      </w:r>
      <w:r>
        <w:rPr>
          <w:rFonts w:ascii="Times New Roman Regular" w:hAnsi="Times New Roman Regular" w:eastAsia="仿宋" w:cs="Times New Roman Regular"/>
          <w:bCs/>
          <w:sz w:val="32"/>
          <w:szCs w:val="32"/>
        </w:rPr>
        <w:t>7</w:t>
      </w:r>
      <w:r>
        <w:rPr>
          <w:rFonts w:hint="eastAsia" w:ascii="仿宋" w:hAnsi="仿宋" w:eastAsia="仿宋" w:cs="仿宋_GB2312"/>
          <w:bCs/>
          <w:sz w:val="32"/>
          <w:szCs w:val="32"/>
        </w:rPr>
        <w:t>分。</w:t>
      </w:r>
    </w:p>
    <w:p w14:paraId="7FC506C3">
      <w:pPr>
        <w:pStyle w:val="7"/>
        <w:adjustRightInd w:val="0"/>
        <w:ind w:firstLine="640" w:firstLineChars="200"/>
        <w:rPr>
          <w:rFonts w:ascii="仿宋" w:hAnsi="仿宋" w:eastAsia="仿宋" w:cs="仿宋_GB2312"/>
          <w:bCs/>
          <w:sz w:val="32"/>
          <w:szCs w:val="32"/>
        </w:rPr>
      </w:pPr>
      <w:r>
        <w:rPr>
          <w:rFonts w:hint="eastAsia" w:ascii="仿宋" w:hAnsi="仿宋" w:eastAsia="仿宋" w:cs="仿宋_GB2312"/>
          <w:bCs/>
          <w:sz w:val="32"/>
          <w:szCs w:val="32"/>
        </w:rPr>
        <w:t>在组织建设和活动举办中融入党史、新中国史、改革开放史、社会主义发展史、中华民族发展史，推动学习党史知识，加强贯彻党的理论，扎实推进学史明理，学史增信，学史崇德，学史力行，赓续红色血脉，弘扬伟大建党精神，彰显中国共产党人精神谱系的深厚感召力，</w:t>
      </w:r>
      <w:r>
        <w:rPr>
          <w:rFonts w:ascii="Times New Roman Regular" w:hAnsi="Times New Roman Regular" w:eastAsia="仿宋" w:cs="Times New Roman Regular"/>
          <w:bCs/>
          <w:sz w:val="32"/>
          <w:szCs w:val="32"/>
        </w:rPr>
        <w:t>5</w:t>
      </w:r>
      <w:r>
        <w:rPr>
          <w:rFonts w:hint="eastAsia" w:ascii="仿宋" w:hAnsi="仿宋" w:eastAsia="仿宋" w:cs="仿宋_GB2312"/>
          <w:bCs/>
          <w:sz w:val="32"/>
          <w:szCs w:val="32"/>
        </w:rPr>
        <w:t>分。</w:t>
      </w:r>
    </w:p>
    <w:p w14:paraId="34F19E16">
      <w:pPr>
        <w:pStyle w:val="7"/>
        <w:adjustRightInd w:val="0"/>
        <w:ind w:firstLine="643" w:firstLineChars="200"/>
        <w:rPr>
          <w:rFonts w:ascii="仿宋" w:hAnsi="仿宋" w:eastAsia="仿宋" w:cs="仿宋_GB2312"/>
          <w:b/>
          <w:sz w:val="32"/>
          <w:szCs w:val="32"/>
        </w:rPr>
      </w:pPr>
      <w:r>
        <w:rPr>
          <w:rFonts w:hint="eastAsia" w:ascii="仿宋" w:hAnsi="仿宋" w:eastAsia="仿宋" w:cs="仿宋_GB2312"/>
          <w:b/>
          <w:sz w:val="32"/>
          <w:szCs w:val="32"/>
        </w:rPr>
        <w:t>（二）组织建设（</w:t>
      </w:r>
      <w:r>
        <w:rPr>
          <w:rFonts w:ascii="Times New Roman Regular" w:hAnsi="Times New Roman Regular" w:eastAsia="仿宋" w:cs="Times New Roman Regular"/>
          <w:b/>
          <w:sz w:val="32"/>
          <w:szCs w:val="32"/>
        </w:rPr>
        <w:t>12</w:t>
      </w:r>
      <w:r>
        <w:rPr>
          <w:rFonts w:hint="eastAsia" w:ascii="仿宋" w:hAnsi="仿宋" w:eastAsia="仿宋" w:cs="仿宋_GB2312"/>
          <w:b/>
          <w:sz w:val="32"/>
          <w:szCs w:val="32"/>
        </w:rPr>
        <w:t>分）</w:t>
      </w:r>
    </w:p>
    <w:p w14:paraId="5BA276EB">
      <w:pPr>
        <w:pStyle w:val="7"/>
        <w:adjustRightInd w:val="0"/>
        <w:ind w:firstLine="640" w:firstLineChars="200"/>
        <w:rPr>
          <w:rFonts w:ascii="仿宋" w:hAnsi="仿宋" w:eastAsia="仿宋" w:cs="仿宋_GB2312"/>
          <w:bCs/>
          <w:sz w:val="32"/>
          <w:szCs w:val="32"/>
        </w:rPr>
      </w:pPr>
      <w:r>
        <w:rPr>
          <w:rFonts w:hint="eastAsia" w:ascii="仿宋" w:hAnsi="仿宋" w:eastAsia="仿宋" w:cs="仿宋_GB2312"/>
          <w:bCs/>
          <w:sz w:val="32"/>
          <w:szCs w:val="32"/>
        </w:rPr>
        <w:t>开展丰富多样的研究生骨干培训，提高学院研究生会工作人员的政治站位和理论水平，加强对研究生干部的教育培训，提升队伍综合素质，</w:t>
      </w:r>
      <w:r>
        <w:rPr>
          <w:rFonts w:ascii="Times New Roman Regular" w:hAnsi="Times New Roman Regular" w:eastAsia="仿宋" w:cs="Times New Roman Regular"/>
          <w:bCs/>
          <w:sz w:val="32"/>
          <w:szCs w:val="32"/>
        </w:rPr>
        <w:t>7</w:t>
      </w:r>
      <w:r>
        <w:rPr>
          <w:rFonts w:hint="eastAsia" w:ascii="仿宋" w:hAnsi="仿宋" w:eastAsia="仿宋" w:cs="仿宋_GB2312"/>
          <w:bCs/>
          <w:sz w:val="32"/>
          <w:szCs w:val="32"/>
        </w:rPr>
        <w:t>分。</w:t>
      </w:r>
    </w:p>
    <w:p w14:paraId="7300A01B">
      <w:pPr>
        <w:pStyle w:val="7"/>
        <w:adjustRightInd w:val="0"/>
        <w:ind w:firstLine="640" w:firstLineChars="200"/>
        <w:rPr>
          <w:rFonts w:ascii="仿宋" w:hAnsi="仿宋" w:eastAsia="仿宋" w:cs="仿宋_GB2312"/>
          <w:bCs/>
          <w:sz w:val="32"/>
          <w:szCs w:val="32"/>
        </w:rPr>
      </w:pPr>
      <w:r>
        <w:rPr>
          <w:rFonts w:hint="eastAsia" w:ascii="仿宋" w:hAnsi="仿宋" w:eastAsia="仿宋" w:cs="仿宋_GB2312"/>
          <w:bCs/>
          <w:sz w:val="32"/>
          <w:szCs w:val="32"/>
        </w:rPr>
        <w:t>学院</w:t>
      </w:r>
      <w:r>
        <w:rPr>
          <w:rFonts w:ascii="仿宋" w:hAnsi="仿宋" w:eastAsia="仿宋" w:cs="仿宋_GB2312"/>
          <w:bCs/>
          <w:sz w:val="32"/>
          <w:szCs w:val="32"/>
        </w:rPr>
        <w:t>研究生会</w:t>
      </w:r>
      <w:r>
        <w:rPr>
          <w:rFonts w:hint="eastAsia" w:ascii="仿宋" w:hAnsi="仿宋" w:eastAsia="仿宋" w:cs="仿宋_GB2312"/>
          <w:bCs/>
          <w:sz w:val="32"/>
          <w:szCs w:val="32"/>
        </w:rPr>
        <w:t>主要工作人员</w:t>
      </w:r>
      <w:r>
        <w:rPr>
          <w:rFonts w:ascii="仿宋" w:hAnsi="仿宋" w:eastAsia="仿宋" w:cs="仿宋_GB2312"/>
          <w:bCs/>
          <w:sz w:val="32"/>
          <w:szCs w:val="32"/>
        </w:rPr>
        <w:t>受到</w:t>
      </w:r>
      <w:r>
        <w:rPr>
          <w:rFonts w:hint="eastAsia" w:ascii="仿宋" w:hAnsi="仿宋" w:eastAsia="仿宋" w:cs="仿宋_GB2312"/>
          <w:bCs/>
          <w:sz w:val="32"/>
          <w:szCs w:val="32"/>
        </w:rPr>
        <w:t>思政类</w:t>
      </w:r>
      <w:r>
        <w:rPr>
          <w:rFonts w:ascii="仿宋" w:hAnsi="仿宋" w:eastAsia="仿宋" w:cs="仿宋_GB2312"/>
          <w:bCs/>
          <w:sz w:val="32"/>
          <w:szCs w:val="32"/>
        </w:rPr>
        <w:t>表彰</w:t>
      </w:r>
      <w:r>
        <w:rPr>
          <w:rFonts w:hint="eastAsia" w:ascii="仿宋" w:hAnsi="仿宋" w:eastAsia="仿宋" w:cs="仿宋_GB2312"/>
          <w:bCs/>
          <w:sz w:val="32"/>
          <w:szCs w:val="32"/>
        </w:rPr>
        <w:t>的，</w:t>
      </w:r>
      <w:r>
        <w:rPr>
          <w:rFonts w:ascii="仿宋" w:hAnsi="仿宋" w:eastAsia="仿宋" w:cs="仿宋_GB2312"/>
          <w:bCs/>
          <w:sz w:val="32"/>
          <w:szCs w:val="32"/>
        </w:rPr>
        <w:t>国家级加</w:t>
      </w:r>
      <w:r>
        <w:rPr>
          <w:rFonts w:ascii="Times New Roman Regular" w:hAnsi="Times New Roman Regular" w:eastAsia="仿宋" w:cs="Times New Roman Regular"/>
          <w:bCs/>
          <w:sz w:val="32"/>
          <w:szCs w:val="32"/>
        </w:rPr>
        <w:t>5</w:t>
      </w:r>
      <w:r>
        <w:rPr>
          <w:rFonts w:ascii="仿宋" w:hAnsi="仿宋" w:eastAsia="仿宋" w:cs="仿宋_GB2312"/>
          <w:bCs/>
          <w:sz w:val="32"/>
          <w:szCs w:val="32"/>
        </w:rPr>
        <w:t>分，省级加</w:t>
      </w:r>
      <w:r>
        <w:rPr>
          <w:rFonts w:ascii="Times New Roman Regular" w:hAnsi="Times New Roman Regular" w:eastAsia="仿宋" w:cs="Times New Roman Regular"/>
          <w:bCs/>
          <w:sz w:val="32"/>
          <w:szCs w:val="32"/>
        </w:rPr>
        <w:t>3</w:t>
      </w:r>
      <w:r>
        <w:rPr>
          <w:rFonts w:ascii="仿宋" w:hAnsi="仿宋" w:eastAsia="仿宋" w:cs="仿宋_GB2312"/>
          <w:bCs/>
          <w:sz w:val="32"/>
          <w:szCs w:val="32"/>
        </w:rPr>
        <w:t>分，市级加</w:t>
      </w:r>
      <w:r>
        <w:rPr>
          <w:rFonts w:ascii="Times New Roman Regular" w:hAnsi="Times New Roman Regular" w:eastAsia="仿宋" w:cs="Times New Roman Regular"/>
          <w:bCs/>
          <w:sz w:val="32"/>
          <w:szCs w:val="32"/>
        </w:rPr>
        <w:t>2</w:t>
      </w:r>
      <w:r>
        <w:rPr>
          <w:rFonts w:ascii="仿宋" w:hAnsi="仿宋" w:eastAsia="仿宋" w:cs="仿宋_GB2312"/>
          <w:bCs/>
          <w:sz w:val="32"/>
          <w:szCs w:val="32"/>
        </w:rPr>
        <w:t>分，校级加</w:t>
      </w:r>
      <w:r>
        <w:rPr>
          <w:rFonts w:ascii="Times New Roman Regular" w:hAnsi="Times New Roman Regular" w:eastAsia="仿宋" w:cs="Times New Roman Regular"/>
          <w:bCs/>
          <w:sz w:val="32"/>
          <w:szCs w:val="32"/>
        </w:rPr>
        <w:t>1</w:t>
      </w:r>
      <w:r>
        <w:rPr>
          <w:rFonts w:ascii="仿宋" w:hAnsi="仿宋" w:eastAsia="仿宋" w:cs="仿宋_GB2312"/>
          <w:bCs/>
          <w:sz w:val="32"/>
          <w:szCs w:val="32"/>
        </w:rPr>
        <w:t>分。该项累计最多加</w:t>
      </w:r>
      <w:r>
        <w:rPr>
          <w:rFonts w:ascii="Times New Roman Regular" w:hAnsi="Times New Roman Regular" w:eastAsia="仿宋" w:cs="Times New Roman Regular"/>
          <w:bCs/>
          <w:sz w:val="32"/>
          <w:szCs w:val="32"/>
        </w:rPr>
        <w:t>5</w:t>
      </w:r>
      <w:r>
        <w:rPr>
          <w:rFonts w:ascii="仿宋" w:hAnsi="仿宋" w:eastAsia="仿宋" w:cs="仿宋_GB2312"/>
          <w:bCs/>
          <w:sz w:val="32"/>
          <w:szCs w:val="32"/>
        </w:rPr>
        <w:t>分。</w:t>
      </w:r>
    </w:p>
    <w:p w14:paraId="238D64EA">
      <w:pPr>
        <w:pStyle w:val="7"/>
        <w:adjustRightInd w:val="0"/>
        <w:ind w:firstLine="643" w:firstLineChars="200"/>
        <w:rPr>
          <w:rFonts w:ascii="仿宋" w:hAnsi="仿宋" w:eastAsia="仿宋" w:cs="仿宋_GB2312"/>
          <w:b/>
          <w:sz w:val="32"/>
          <w:szCs w:val="32"/>
        </w:rPr>
      </w:pPr>
      <w:r>
        <w:rPr>
          <w:rFonts w:hint="eastAsia" w:ascii="仿宋" w:hAnsi="仿宋" w:eastAsia="仿宋" w:cs="仿宋_GB2312"/>
          <w:b/>
          <w:sz w:val="32"/>
          <w:szCs w:val="32"/>
        </w:rPr>
        <w:t>（三）制度建设（</w:t>
      </w:r>
      <w:r>
        <w:rPr>
          <w:rFonts w:ascii="Times New Roman Regular" w:hAnsi="Times New Roman Regular" w:eastAsia="仿宋" w:cs="Times New Roman Regular"/>
          <w:b/>
          <w:sz w:val="32"/>
          <w:szCs w:val="32"/>
        </w:rPr>
        <w:t>10</w:t>
      </w:r>
      <w:r>
        <w:rPr>
          <w:rFonts w:hint="eastAsia" w:ascii="仿宋" w:hAnsi="仿宋" w:eastAsia="仿宋" w:cs="仿宋_GB2312"/>
          <w:b/>
          <w:sz w:val="32"/>
          <w:szCs w:val="32"/>
        </w:rPr>
        <w:t>分）</w:t>
      </w:r>
    </w:p>
    <w:p w14:paraId="57CAE6A0">
      <w:pPr>
        <w:pStyle w:val="7"/>
        <w:adjustRightInd w:val="0"/>
        <w:ind w:firstLine="640" w:firstLineChars="200"/>
        <w:rPr>
          <w:rFonts w:ascii="仿宋" w:hAnsi="仿宋" w:eastAsia="仿宋" w:cs="仿宋_GB2312"/>
          <w:bCs/>
          <w:sz w:val="32"/>
          <w:szCs w:val="32"/>
        </w:rPr>
      </w:pPr>
      <w:r>
        <w:rPr>
          <w:rFonts w:hint="eastAsia" w:ascii="仿宋" w:hAnsi="仿宋" w:eastAsia="仿宋" w:cs="仿宋_GB2312"/>
          <w:bCs/>
          <w:sz w:val="32"/>
          <w:szCs w:val="32"/>
        </w:rPr>
        <w:t>以《中南财经政法大学研究生会章程》为依据，加强学院研究生会制度建设，构建和完善学习制度、会议制度、管理制度、奖惩制度等，推动组织建设规范化，加强制度执行的常态化监督，确保制度规范行之有效，</w:t>
      </w:r>
      <w:r>
        <w:rPr>
          <w:rFonts w:ascii="Times New Roman Regular" w:hAnsi="Times New Roman Regular" w:eastAsia="仿宋" w:cs="Times New Roman Regular"/>
          <w:bCs/>
          <w:sz w:val="32"/>
          <w:szCs w:val="32"/>
        </w:rPr>
        <w:t>10</w:t>
      </w:r>
      <w:r>
        <w:rPr>
          <w:rFonts w:hint="eastAsia" w:ascii="仿宋" w:hAnsi="仿宋" w:eastAsia="仿宋" w:cs="仿宋_GB2312"/>
          <w:bCs/>
          <w:sz w:val="32"/>
          <w:szCs w:val="32"/>
        </w:rPr>
        <w:t>分。</w:t>
      </w:r>
    </w:p>
    <w:p w14:paraId="6D5CFBA1">
      <w:pPr>
        <w:pStyle w:val="7"/>
        <w:adjustRightInd w:val="0"/>
        <w:ind w:firstLine="643" w:firstLineChars="200"/>
        <w:rPr>
          <w:rFonts w:ascii="仿宋" w:hAnsi="仿宋" w:eastAsia="仿宋" w:cs="仿宋_GB2312"/>
          <w:b/>
          <w:sz w:val="32"/>
          <w:szCs w:val="32"/>
        </w:rPr>
      </w:pPr>
      <w:r>
        <w:rPr>
          <w:rFonts w:hint="eastAsia" w:ascii="仿宋" w:hAnsi="仿宋" w:eastAsia="仿宋" w:cs="仿宋_GB2312"/>
          <w:b/>
          <w:sz w:val="32"/>
          <w:szCs w:val="32"/>
        </w:rPr>
        <w:t>（四）作风建设（</w:t>
      </w:r>
      <w:r>
        <w:rPr>
          <w:rFonts w:ascii="Times New Roman Regular" w:hAnsi="Times New Roman Regular" w:eastAsia="仿宋" w:cs="Times New Roman Regular"/>
          <w:b/>
          <w:sz w:val="32"/>
          <w:szCs w:val="32"/>
        </w:rPr>
        <w:t>14</w:t>
      </w:r>
      <w:r>
        <w:rPr>
          <w:rFonts w:hint="eastAsia" w:ascii="仿宋" w:hAnsi="仿宋" w:eastAsia="仿宋" w:cs="仿宋_GB2312"/>
          <w:b/>
          <w:sz w:val="32"/>
          <w:szCs w:val="32"/>
        </w:rPr>
        <w:t>分）</w:t>
      </w:r>
    </w:p>
    <w:p w14:paraId="5F64E414">
      <w:pPr>
        <w:pStyle w:val="7"/>
        <w:adjustRightInd w:val="0"/>
        <w:ind w:firstLine="640" w:firstLineChars="200"/>
        <w:rPr>
          <w:rFonts w:ascii="仿宋" w:hAnsi="仿宋" w:eastAsia="仿宋" w:cs="仿宋_GB2312"/>
          <w:bCs/>
          <w:sz w:val="32"/>
          <w:szCs w:val="32"/>
        </w:rPr>
      </w:pPr>
      <w:r>
        <w:rPr>
          <w:rFonts w:hint="eastAsia" w:ascii="仿宋" w:hAnsi="仿宋" w:eastAsia="仿宋" w:cs="仿宋_GB2312"/>
          <w:bCs/>
          <w:sz w:val="32"/>
          <w:szCs w:val="32"/>
        </w:rPr>
        <w:t>加强政治监督，增强“四个意识”、坚定“四个自信”、做到“两个维护”。持续深化作风建设常态化学习教育，组织党员同学锤炼党性、提高思想觉悟，贯彻求真务实、勤俭节约的优良作风，严守政治规矩不动摇，</w:t>
      </w:r>
      <w:r>
        <w:rPr>
          <w:rFonts w:ascii="Times New Roman Regular" w:hAnsi="Times New Roman Regular" w:eastAsia="仿宋" w:cs="Times New Roman Regular"/>
          <w:bCs/>
          <w:sz w:val="32"/>
          <w:szCs w:val="32"/>
        </w:rPr>
        <w:t>7</w:t>
      </w:r>
      <w:r>
        <w:rPr>
          <w:rFonts w:hint="eastAsia" w:ascii="仿宋" w:hAnsi="仿宋" w:eastAsia="仿宋" w:cs="仿宋_GB2312"/>
          <w:bCs/>
          <w:sz w:val="32"/>
          <w:szCs w:val="32"/>
        </w:rPr>
        <w:t>分。</w:t>
      </w:r>
    </w:p>
    <w:p w14:paraId="0B35718F">
      <w:pPr>
        <w:pStyle w:val="7"/>
        <w:adjustRightInd w:val="0"/>
        <w:ind w:firstLine="640" w:firstLineChars="200"/>
        <w:rPr>
          <w:rFonts w:ascii="仿宋" w:hAnsi="仿宋" w:eastAsia="仿宋" w:cs="仿宋_GB2312"/>
          <w:bCs/>
          <w:sz w:val="32"/>
          <w:szCs w:val="32"/>
        </w:rPr>
      </w:pPr>
      <w:r>
        <w:rPr>
          <w:rFonts w:hint="eastAsia" w:ascii="仿宋" w:hAnsi="仿宋" w:eastAsia="仿宋" w:cs="仿宋_GB2312"/>
          <w:bCs/>
          <w:sz w:val="32"/>
          <w:szCs w:val="32"/>
        </w:rPr>
        <w:t>深刻领悟习近平总书记关于全面从严治党和自我革命的相关论述精神，深刻领悟党的二十大关于全面从严治党的战略部署，按照《关于巩固高校学生会（研究生会）改革成果的若干措施》的要求，全面从严治会，营造风清气正、干净纯粹的组织环境，</w:t>
      </w:r>
      <w:r>
        <w:rPr>
          <w:rFonts w:ascii="Times New Roman Regular" w:hAnsi="Times New Roman Regular" w:eastAsia="仿宋" w:cs="Times New Roman Regular"/>
          <w:bCs/>
          <w:sz w:val="32"/>
          <w:szCs w:val="32"/>
        </w:rPr>
        <w:t>7</w:t>
      </w:r>
      <w:r>
        <w:rPr>
          <w:rFonts w:hint="eastAsia" w:ascii="仿宋" w:hAnsi="仿宋" w:eastAsia="仿宋" w:cs="仿宋_GB2312"/>
          <w:bCs/>
          <w:sz w:val="32"/>
          <w:szCs w:val="32"/>
        </w:rPr>
        <w:t>分。</w:t>
      </w:r>
    </w:p>
    <w:p w14:paraId="636CE243">
      <w:pPr>
        <w:pStyle w:val="7"/>
        <w:adjustRightInd w:val="0"/>
        <w:ind w:firstLine="643" w:firstLineChars="200"/>
        <w:rPr>
          <w:rFonts w:ascii="仿宋" w:hAnsi="仿宋" w:eastAsia="仿宋" w:cs="仿宋_GB2312"/>
          <w:b/>
          <w:sz w:val="32"/>
          <w:szCs w:val="32"/>
        </w:rPr>
      </w:pPr>
      <w:r>
        <w:rPr>
          <w:rFonts w:hint="eastAsia" w:ascii="仿宋" w:hAnsi="仿宋" w:eastAsia="仿宋" w:cs="仿宋_GB2312"/>
          <w:b/>
          <w:sz w:val="32"/>
          <w:szCs w:val="32"/>
        </w:rPr>
        <w:t>三、提升服务实效（</w:t>
      </w:r>
      <w:r>
        <w:rPr>
          <w:rFonts w:ascii="Times New Roman Regular" w:hAnsi="Times New Roman Regular" w:eastAsia="仿宋" w:cs="Times New Roman Regular"/>
          <w:b/>
          <w:sz w:val="32"/>
          <w:szCs w:val="32"/>
        </w:rPr>
        <w:t>40</w:t>
      </w:r>
      <w:r>
        <w:rPr>
          <w:rFonts w:hint="eastAsia" w:ascii="仿宋" w:hAnsi="仿宋" w:eastAsia="仿宋" w:cs="仿宋_GB2312"/>
          <w:b/>
          <w:sz w:val="32"/>
          <w:szCs w:val="32"/>
        </w:rPr>
        <w:t>分）</w:t>
      </w:r>
    </w:p>
    <w:p w14:paraId="785486B7">
      <w:pPr>
        <w:adjustRightInd w:val="0"/>
        <w:ind w:firstLine="640" w:firstLineChars="200"/>
        <w:rPr>
          <w:rFonts w:ascii="仿宋" w:hAnsi="仿宋" w:eastAsia="仿宋" w:cs="仿宋_GB2312"/>
          <w:sz w:val="32"/>
          <w:szCs w:val="32"/>
        </w:rPr>
      </w:pPr>
      <w:r>
        <w:rPr>
          <w:rFonts w:hint="eastAsia" w:ascii="仿宋" w:hAnsi="仿宋" w:eastAsia="仿宋"/>
          <w:bCs/>
          <w:sz w:val="32"/>
          <w:szCs w:val="32"/>
        </w:rPr>
        <w:t>（一）在广大研究生中开展形式多样的思想政治</w:t>
      </w:r>
      <w:r>
        <w:rPr>
          <w:rFonts w:hint="eastAsia" w:ascii="仿宋" w:hAnsi="仿宋" w:eastAsia="仿宋"/>
          <w:bCs/>
          <w:sz w:val="32"/>
          <w:szCs w:val="32"/>
          <w:lang w:val="en-US" w:eastAsia="zh-CN"/>
        </w:rPr>
        <w:t>引领</w:t>
      </w:r>
      <w:r>
        <w:rPr>
          <w:rFonts w:hint="eastAsia" w:ascii="仿宋" w:hAnsi="仿宋" w:eastAsia="仿宋"/>
          <w:bCs/>
          <w:sz w:val="32"/>
          <w:szCs w:val="32"/>
        </w:rPr>
        <w:t>活动，起到良好的</w:t>
      </w:r>
      <w:r>
        <w:rPr>
          <w:rFonts w:hint="eastAsia" w:ascii="仿宋" w:hAnsi="仿宋" w:eastAsia="仿宋"/>
          <w:bCs/>
          <w:sz w:val="32"/>
          <w:szCs w:val="32"/>
          <w:lang w:val="en-US" w:eastAsia="zh-CN"/>
        </w:rPr>
        <w:t>思想</w:t>
      </w:r>
      <w:r>
        <w:rPr>
          <w:rFonts w:hint="eastAsia" w:ascii="仿宋" w:hAnsi="仿宋" w:eastAsia="仿宋"/>
          <w:bCs/>
          <w:sz w:val="32"/>
          <w:szCs w:val="32"/>
        </w:rPr>
        <w:t>引领作用，</w:t>
      </w:r>
      <w:r>
        <w:rPr>
          <w:rFonts w:ascii="Times New Roman Regular" w:hAnsi="Times New Roman Regular" w:eastAsia="仿宋" w:cs="Times New Roman Regular"/>
          <w:bCs/>
          <w:sz w:val="32"/>
          <w:szCs w:val="32"/>
        </w:rPr>
        <w:t>7</w:t>
      </w:r>
      <w:r>
        <w:rPr>
          <w:rFonts w:hint="eastAsia" w:ascii="仿宋" w:hAnsi="仿宋" w:eastAsia="仿宋"/>
          <w:bCs/>
          <w:sz w:val="32"/>
          <w:szCs w:val="32"/>
        </w:rPr>
        <w:t>分。</w:t>
      </w:r>
    </w:p>
    <w:p w14:paraId="4F4D8883">
      <w:pPr>
        <w:adjustRightInd w:val="0"/>
        <w:ind w:firstLine="640" w:firstLineChars="200"/>
        <w:rPr>
          <w:rFonts w:ascii="仿宋" w:hAnsi="仿宋" w:eastAsia="仿宋" w:cs="仿宋_GB2312"/>
          <w:color w:val="000000"/>
          <w:sz w:val="32"/>
          <w:szCs w:val="32"/>
        </w:rPr>
      </w:pPr>
      <w:r>
        <w:rPr>
          <w:rFonts w:hint="eastAsia" w:ascii="仿宋" w:hAnsi="仿宋" w:eastAsia="仿宋" w:cs="仿宋_GB2312"/>
          <w:color w:val="000000"/>
          <w:sz w:val="32"/>
          <w:szCs w:val="32"/>
        </w:rPr>
        <w:t>（二）依据活动等级评分，学院研究生会主办院级思想政治教</w:t>
      </w:r>
      <w:r>
        <w:rPr>
          <w:rFonts w:hint="eastAsia" w:ascii="仿宋" w:hAnsi="仿宋" w:eastAsia="仿宋" w:cs="仿宋_GB2312"/>
          <w:color w:val="000000"/>
          <w:sz w:val="32"/>
          <w:szCs w:val="32"/>
          <w:lang w:val="en-US" w:eastAsia="zh-CN"/>
        </w:rPr>
        <w:t>引领</w:t>
      </w:r>
      <w:r>
        <w:rPr>
          <w:rFonts w:hint="eastAsia" w:ascii="仿宋" w:hAnsi="仿宋" w:eastAsia="仿宋" w:cs="仿宋_GB2312"/>
          <w:color w:val="000000"/>
          <w:sz w:val="32"/>
          <w:szCs w:val="32"/>
        </w:rPr>
        <w:t>活动，当次活动加</w:t>
      </w:r>
      <w:r>
        <w:rPr>
          <w:rFonts w:ascii="Times New Roman Regular" w:hAnsi="Times New Roman Regular" w:eastAsia="仿宋" w:cs="Times New Roman Regular"/>
          <w:color w:val="000000"/>
          <w:sz w:val="32"/>
          <w:szCs w:val="32"/>
        </w:rPr>
        <w:t>3</w:t>
      </w:r>
      <w:r>
        <w:rPr>
          <w:rFonts w:hint="eastAsia" w:ascii="仿宋" w:hAnsi="仿宋" w:eastAsia="仿宋" w:cs="仿宋_GB2312"/>
          <w:color w:val="000000"/>
          <w:sz w:val="32"/>
          <w:szCs w:val="32"/>
        </w:rPr>
        <w:t>分；联合举办思想政治</w:t>
      </w:r>
      <w:r>
        <w:rPr>
          <w:rFonts w:hint="eastAsia" w:ascii="仿宋" w:hAnsi="仿宋" w:eastAsia="仿宋" w:cs="仿宋_GB2312"/>
          <w:color w:val="000000"/>
          <w:sz w:val="32"/>
          <w:szCs w:val="32"/>
          <w:lang w:val="en-US" w:eastAsia="zh-CN"/>
        </w:rPr>
        <w:t>引领</w:t>
      </w:r>
      <w:r>
        <w:rPr>
          <w:rFonts w:hint="eastAsia" w:ascii="仿宋" w:hAnsi="仿宋" w:eastAsia="仿宋" w:cs="仿宋_GB2312"/>
          <w:color w:val="000000"/>
          <w:sz w:val="32"/>
          <w:szCs w:val="32"/>
        </w:rPr>
        <w:t>活动，当次活动主办学院研究生会加</w:t>
      </w:r>
      <w:r>
        <w:rPr>
          <w:rFonts w:ascii="Times New Roman Regular" w:hAnsi="Times New Roman Regular" w:eastAsia="仿宋" w:cs="Times New Roman Regular"/>
          <w:color w:val="000000"/>
          <w:sz w:val="32"/>
          <w:szCs w:val="32"/>
        </w:rPr>
        <w:t>4</w:t>
      </w:r>
      <w:r>
        <w:rPr>
          <w:rFonts w:hint="eastAsia" w:ascii="仿宋" w:hAnsi="仿宋" w:eastAsia="仿宋" w:cs="仿宋_GB2312"/>
          <w:color w:val="000000"/>
          <w:sz w:val="32"/>
          <w:szCs w:val="32"/>
        </w:rPr>
        <w:t>分；主办校际间思想政治</w:t>
      </w:r>
      <w:r>
        <w:rPr>
          <w:rFonts w:hint="eastAsia" w:ascii="仿宋" w:hAnsi="仿宋" w:eastAsia="仿宋" w:cs="仿宋_GB2312"/>
          <w:color w:val="000000"/>
          <w:sz w:val="32"/>
          <w:szCs w:val="32"/>
          <w:lang w:val="en-US" w:eastAsia="zh-CN"/>
        </w:rPr>
        <w:t>引领</w:t>
      </w:r>
      <w:r>
        <w:rPr>
          <w:rFonts w:hint="eastAsia" w:ascii="仿宋" w:hAnsi="仿宋" w:eastAsia="仿宋" w:cs="仿宋_GB2312"/>
          <w:color w:val="000000"/>
          <w:sz w:val="32"/>
          <w:szCs w:val="32"/>
        </w:rPr>
        <w:t>活动，当次活动加</w:t>
      </w:r>
      <w:r>
        <w:rPr>
          <w:rFonts w:ascii="Times New Roman Regular" w:hAnsi="Times New Roman Regular" w:eastAsia="仿宋" w:cs="Times New Roman Regular"/>
          <w:color w:val="000000"/>
          <w:sz w:val="32"/>
          <w:szCs w:val="32"/>
        </w:rPr>
        <w:t>6</w:t>
      </w:r>
      <w:r>
        <w:rPr>
          <w:rFonts w:hint="eastAsia" w:ascii="仿宋" w:hAnsi="仿宋" w:eastAsia="仿宋" w:cs="仿宋_GB2312"/>
          <w:color w:val="000000"/>
          <w:sz w:val="32"/>
          <w:szCs w:val="32"/>
        </w:rPr>
        <w:t>分。该项累计最高加</w:t>
      </w:r>
      <w:r>
        <w:rPr>
          <w:rFonts w:ascii="Times New Roman Regular" w:hAnsi="Times New Roman Regular" w:eastAsia="仿宋" w:cs="Times New Roman Regular"/>
          <w:color w:val="000000"/>
          <w:sz w:val="32"/>
          <w:szCs w:val="32"/>
        </w:rPr>
        <w:t>6</w:t>
      </w:r>
      <w:r>
        <w:rPr>
          <w:rFonts w:hint="eastAsia" w:ascii="仿宋" w:hAnsi="仿宋" w:eastAsia="仿宋" w:cs="仿宋_GB2312"/>
          <w:color w:val="000000"/>
          <w:sz w:val="32"/>
          <w:szCs w:val="32"/>
        </w:rPr>
        <w:t>分。</w:t>
      </w:r>
    </w:p>
    <w:p w14:paraId="3616BC99">
      <w:pPr>
        <w:adjustRightInd w:val="0"/>
        <w:ind w:firstLine="640" w:firstLineChars="200"/>
        <w:rPr>
          <w:rFonts w:ascii="仿宋" w:hAnsi="仿宋" w:eastAsia="仿宋" w:cs="仿宋_GB2312"/>
          <w:sz w:val="32"/>
          <w:szCs w:val="32"/>
        </w:rPr>
      </w:pPr>
      <w:r>
        <w:rPr>
          <w:rFonts w:hint="eastAsia" w:ascii="仿宋" w:hAnsi="仿宋" w:eastAsia="仿宋" w:cs="仿宋_GB2312"/>
          <w:color w:val="000000"/>
          <w:sz w:val="32"/>
          <w:szCs w:val="32"/>
        </w:rPr>
        <w:t>（三）引发师生广泛关注、浓厚兴趣和强烈共鸣，活动反响较大，</w:t>
      </w:r>
      <w:r>
        <w:rPr>
          <w:rFonts w:ascii="Times New Roman Regular" w:hAnsi="Times New Roman Regular" w:eastAsia="仿宋" w:cs="Times New Roman Regular"/>
          <w:color w:val="000000"/>
          <w:sz w:val="32"/>
          <w:szCs w:val="32"/>
        </w:rPr>
        <w:t>5</w:t>
      </w:r>
      <w:r>
        <w:rPr>
          <w:rFonts w:hint="eastAsia" w:ascii="仿宋" w:hAnsi="仿宋" w:eastAsia="仿宋" w:cs="仿宋_GB2312"/>
          <w:color w:val="000000"/>
          <w:sz w:val="32"/>
          <w:szCs w:val="32"/>
        </w:rPr>
        <w:t>分。</w:t>
      </w:r>
    </w:p>
    <w:p w14:paraId="7902D829">
      <w:pPr>
        <w:adjustRightInd w:val="0"/>
        <w:ind w:firstLine="640" w:firstLineChars="200"/>
        <w:rPr>
          <w:rFonts w:ascii="仿宋" w:hAnsi="仿宋" w:eastAsia="仿宋" w:cs="仿宋_GB2312"/>
          <w:sz w:val="32"/>
          <w:szCs w:val="32"/>
        </w:rPr>
      </w:pPr>
      <w:r>
        <w:rPr>
          <w:rFonts w:hint="eastAsia" w:ascii="仿宋" w:hAnsi="仿宋" w:eastAsia="仿宋" w:cs="仿宋_GB2312"/>
          <w:color w:val="000000"/>
          <w:sz w:val="32"/>
          <w:szCs w:val="32"/>
        </w:rPr>
        <w:t>（四）</w:t>
      </w:r>
      <w:r>
        <w:rPr>
          <w:rFonts w:hint="eastAsia" w:ascii="仿宋" w:hAnsi="仿宋" w:eastAsia="仿宋" w:cs="仿宋_GB2312"/>
          <w:sz w:val="32"/>
          <w:szCs w:val="32"/>
        </w:rPr>
        <w:t>举办的思想政治</w:t>
      </w:r>
      <w:r>
        <w:rPr>
          <w:rFonts w:hint="eastAsia" w:ascii="仿宋" w:hAnsi="仿宋" w:eastAsia="仿宋" w:cs="仿宋_GB2312"/>
          <w:sz w:val="32"/>
          <w:szCs w:val="32"/>
          <w:lang w:val="en-US" w:eastAsia="zh-CN"/>
        </w:rPr>
        <w:t>引领</w:t>
      </w:r>
      <w:r>
        <w:rPr>
          <w:rFonts w:hint="eastAsia" w:ascii="仿宋" w:hAnsi="仿宋" w:eastAsia="仿宋" w:cs="仿宋_GB2312"/>
          <w:color w:val="000000"/>
          <w:sz w:val="32"/>
          <w:szCs w:val="32"/>
        </w:rPr>
        <w:t>活动邀请知名专家学者或业界专家</w:t>
      </w:r>
      <w:r>
        <w:rPr>
          <w:rFonts w:hint="eastAsia" w:ascii="仿宋" w:hAnsi="仿宋" w:eastAsia="仿宋" w:cs="仿宋_GB2312"/>
          <w:sz w:val="32"/>
          <w:szCs w:val="32"/>
        </w:rPr>
        <w:t>作为主讲人或参与嘉宾，取得较好的效果，</w:t>
      </w:r>
      <w:r>
        <w:rPr>
          <w:rFonts w:ascii="Times New Roman Regular" w:hAnsi="Times New Roman Regular" w:eastAsia="仿宋" w:cs="Times New Roman Regular"/>
          <w:sz w:val="32"/>
          <w:szCs w:val="32"/>
        </w:rPr>
        <w:t>4</w:t>
      </w:r>
      <w:r>
        <w:rPr>
          <w:rFonts w:hint="eastAsia" w:ascii="仿宋" w:hAnsi="仿宋" w:eastAsia="仿宋" w:cs="仿宋_GB2312"/>
          <w:sz w:val="32"/>
          <w:szCs w:val="32"/>
        </w:rPr>
        <w:t>分。</w:t>
      </w:r>
    </w:p>
    <w:p w14:paraId="76CA2CEE">
      <w:pPr>
        <w:adjustRightInd w:val="0"/>
        <w:ind w:firstLine="640" w:firstLineChars="200"/>
        <w:rPr>
          <w:rFonts w:ascii="仿宋" w:hAnsi="仿宋" w:eastAsia="仿宋" w:cs="仿宋_GB2312"/>
          <w:color w:val="000000"/>
          <w:sz w:val="32"/>
          <w:szCs w:val="32"/>
        </w:rPr>
      </w:pPr>
      <w:r>
        <w:rPr>
          <w:rFonts w:hint="eastAsia" w:ascii="仿宋" w:hAnsi="仿宋" w:eastAsia="仿宋" w:cs="仿宋_GB2312"/>
          <w:sz w:val="32"/>
          <w:szCs w:val="32"/>
        </w:rPr>
        <w:t>（五）活动充分结合本学院学科特色，与本学院研究生学习专业联系紧密，可以充分调动研究生的积极性，在研究生校园文化活动中具有引领作用，</w:t>
      </w:r>
      <w:r>
        <w:rPr>
          <w:rFonts w:ascii="Times New Roman Regular" w:hAnsi="Times New Roman Regular" w:eastAsia="仿宋" w:cs="Times New Roman Regular"/>
          <w:sz w:val="32"/>
          <w:szCs w:val="32"/>
        </w:rPr>
        <w:t>4</w:t>
      </w:r>
      <w:r>
        <w:rPr>
          <w:rFonts w:hint="eastAsia" w:ascii="仿宋" w:hAnsi="仿宋" w:eastAsia="仿宋" w:cs="仿宋_GB2312"/>
          <w:sz w:val="32"/>
          <w:szCs w:val="32"/>
        </w:rPr>
        <w:t>分。</w:t>
      </w:r>
    </w:p>
    <w:p w14:paraId="1168D229">
      <w:pPr>
        <w:adjustRightInd w:val="0"/>
        <w:ind w:firstLine="640" w:firstLineChars="200"/>
        <w:rPr>
          <w:rFonts w:ascii="仿宋" w:hAnsi="仿宋" w:eastAsia="仿宋" w:cs="仿宋_GB2312"/>
          <w:sz w:val="32"/>
          <w:szCs w:val="32"/>
        </w:rPr>
      </w:pPr>
      <w:r>
        <w:rPr>
          <w:rFonts w:hint="eastAsia" w:ascii="仿宋" w:hAnsi="仿宋" w:eastAsia="仿宋" w:cs="仿宋_GB2312"/>
          <w:sz w:val="32"/>
          <w:szCs w:val="32"/>
        </w:rPr>
        <w:t>（六）活动具有</w:t>
      </w:r>
      <w:r>
        <w:rPr>
          <w:rFonts w:hint="eastAsia" w:ascii="仿宋" w:hAnsi="仿宋" w:eastAsia="仿宋" w:cs="仿宋_GB2312"/>
          <w:sz w:val="32"/>
          <w:szCs w:val="32"/>
          <w:lang w:val="en-US" w:eastAsia="zh-CN"/>
        </w:rPr>
        <w:t>连贯</w:t>
      </w:r>
      <w:r>
        <w:rPr>
          <w:rFonts w:hint="eastAsia" w:ascii="仿宋" w:hAnsi="仿宋" w:eastAsia="仿宋" w:cs="仿宋_GB2312"/>
          <w:sz w:val="32"/>
          <w:szCs w:val="32"/>
        </w:rPr>
        <w:t>性，在学院举办届数较多，或与往年相比更好地提炼品牌亮点，持续举办独具学院特色的品牌活动，</w:t>
      </w:r>
      <w:r>
        <w:rPr>
          <w:rFonts w:ascii="Times New Roman Regular" w:hAnsi="Times New Roman Regular" w:eastAsia="仿宋" w:cs="Times New Roman Regular"/>
          <w:sz w:val="32"/>
          <w:szCs w:val="32"/>
        </w:rPr>
        <w:t>3</w:t>
      </w:r>
      <w:r>
        <w:rPr>
          <w:rFonts w:hint="eastAsia" w:ascii="仿宋" w:hAnsi="仿宋" w:eastAsia="仿宋" w:cs="仿宋_GB2312"/>
          <w:sz w:val="32"/>
          <w:szCs w:val="32"/>
        </w:rPr>
        <w:t>分。</w:t>
      </w:r>
    </w:p>
    <w:p w14:paraId="71CC91F1">
      <w:pPr>
        <w:adjustRightInd w:val="0"/>
        <w:ind w:firstLine="640" w:firstLineChars="200"/>
        <w:rPr>
          <w:rFonts w:ascii="仿宋" w:hAnsi="仿宋" w:eastAsia="仿宋" w:cs="仿宋_GB2312"/>
          <w:sz w:val="32"/>
          <w:szCs w:val="32"/>
        </w:rPr>
      </w:pPr>
      <w:r>
        <w:rPr>
          <w:rFonts w:hint="eastAsia" w:ascii="仿宋" w:hAnsi="仿宋" w:eastAsia="仿宋" w:cs="仿宋_GB2312"/>
          <w:sz w:val="32"/>
          <w:szCs w:val="32"/>
        </w:rPr>
        <w:t>（七）活动形式具有创新性，具有较好的推广价值和借鉴意义，</w:t>
      </w:r>
      <w:r>
        <w:rPr>
          <w:rFonts w:ascii="Times New Roman Regular" w:hAnsi="Times New Roman Regular" w:eastAsia="仿宋" w:cs="Times New Roman Regular"/>
          <w:sz w:val="32"/>
          <w:szCs w:val="32"/>
        </w:rPr>
        <w:t>3</w:t>
      </w:r>
      <w:r>
        <w:rPr>
          <w:rFonts w:hint="eastAsia" w:ascii="仿宋" w:hAnsi="仿宋" w:eastAsia="仿宋" w:cs="仿宋_GB2312"/>
          <w:sz w:val="32"/>
          <w:szCs w:val="32"/>
        </w:rPr>
        <w:t>分。</w:t>
      </w:r>
    </w:p>
    <w:p w14:paraId="1AD9F004">
      <w:pPr>
        <w:adjustRightInd w:val="0"/>
        <w:ind w:firstLine="640" w:firstLineChars="200"/>
        <w:rPr>
          <w:rFonts w:ascii="仿宋" w:hAnsi="仿宋" w:eastAsia="仿宋" w:cs="仿宋_GB2312"/>
          <w:color w:val="000000"/>
          <w:sz w:val="32"/>
          <w:szCs w:val="32"/>
        </w:rPr>
      </w:pPr>
      <w:r>
        <w:rPr>
          <w:rFonts w:hint="eastAsia" w:ascii="仿宋" w:hAnsi="仿宋" w:eastAsia="仿宋" w:cs="仿宋_GB2312"/>
          <w:color w:val="000000"/>
          <w:sz w:val="32"/>
          <w:szCs w:val="32"/>
        </w:rPr>
        <w:t>（八）有助于提升我校的影响力和竞争力，如能够与国内外知名学者进行良性互动和维持长期合作关系，</w:t>
      </w:r>
      <w:r>
        <w:rPr>
          <w:rFonts w:ascii="Times New Roman Regular" w:hAnsi="Times New Roman Regular" w:eastAsia="仿宋" w:cs="Times New Roman Regular"/>
          <w:color w:val="000000"/>
          <w:sz w:val="32"/>
          <w:szCs w:val="32"/>
        </w:rPr>
        <w:t>3</w:t>
      </w:r>
      <w:r>
        <w:rPr>
          <w:rFonts w:hint="eastAsia" w:ascii="仿宋" w:hAnsi="仿宋" w:eastAsia="仿宋" w:cs="仿宋_GB2312"/>
          <w:color w:val="000000"/>
          <w:sz w:val="32"/>
          <w:szCs w:val="32"/>
        </w:rPr>
        <w:t>分。</w:t>
      </w:r>
    </w:p>
    <w:p w14:paraId="493C9045">
      <w:pPr>
        <w:adjustRightInd w:val="0"/>
        <w:ind w:firstLine="640" w:firstLineChars="200"/>
        <w:rPr>
          <w:rFonts w:ascii="仿宋" w:hAnsi="仿宋" w:eastAsia="仿宋" w:cs="仿宋_GB2312"/>
          <w:sz w:val="32"/>
          <w:szCs w:val="32"/>
        </w:rPr>
      </w:pPr>
      <w:r>
        <w:rPr>
          <w:rFonts w:hint="eastAsia" w:ascii="仿宋" w:hAnsi="仿宋" w:eastAsia="仿宋" w:cs="仿宋_GB2312"/>
          <w:sz w:val="32"/>
          <w:szCs w:val="32"/>
        </w:rPr>
        <w:t>（九）活动受到表彰或在相关媒体上被报道。国家级媒体加</w:t>
      </w:r>
      <w:r>
        <w:rPr>
          <w:rFonts w:ascii="Times New Roman Regular" w:hAnsi="Times New Roman Regular" w:eastAsia="仿宋" w:cs="Times New Roman Regular"/>
          <w:sz w:val="32"/>
          <w:szCs w:val="32"/>
        </w:rPr>
        <w:t>5</w:t>
      </w:r>
      <w:r>
        <w:rPr>
          <w:rFonts w:hint="eastAsia" w:ascii="仿宋" w:hAnsi="仿宋" w:eastAsia="仿宋" w:cs="仿宋_GB2312"/>
          <w:sz w:val="32"/>
          <w:szCs w:val="32"/>
        </w:rPr>
        <w:t>分，省级媒体加</w:t>
      </w:r>
      <w:r>
        <w:rPr>
          <w:rFonts w:ascii="Times New Roman Regular" w:hAnsi="Times New Roman Regular" w:eastAsia="仿宋" w:cs="Times New Roman Regular"/>
          <w:sz w:val="32"/>
          <w:szCs w:val="32"/>
        </w:rPr>
        <w:t>3</w:t>
      </w:r>
      <w:r>
        <w:rPr>
          <w:rFonts w:hint="eastAsia" w:ascii="仿宋" w:hAnsi="仿宋" w:eastAsia="仿宋" w:cs="仿宋_GB2312"/>
          <w:sz w:val="32"/>
          <w:szCs w:val="32"/>
        </w:rPr>
        <w:t>分，市级媒体加</w:t>
      </w:r>
      <w:r>
        <w:rPr>
          <w:rFonts w:ascii="Times New Roman Regular" w:hAnsi="Times New Roman Regular" w:eastAsia="仿宋" w:cs="Times New Roman Regular"/>
          <w:sz w:val="32"/>
          <w:szCs w:val="32"/>
        </w:rPr>
        <w:t>2</w:t>
      </w:r>
      <w:r>
        <w:rPr>
          <w:rFonts w:hint="eastAsia" w:ascii="仿宋" w:hAnsi="仿宋" w:eastAsia="仿宋" w:cs="仿宋_GB2312"/>
          <w:sz w:val="32"/>
          <w:szCs w:val="32"/>
        </w:rPr>
        <w:t>分，校级媒体（学校文澜新闻网、党委研究生工作部官网、校报）加</w:t>
      </w:r>
      <w:r>
        <w:rPr>
          <w:rFonts w:ascii="Times New Roman Regular" w:hAnsi="Times New Roman Regular" w:eastAsia="仿宋" w:cs="Times New Roman Regular"/>
          <w:sz w:val="32"/>
          <w:szCs w:val="32"/>
        </w:rPr>
        <w:t>1</w:t>
      </w:r>
      <w:r>
        <w:rPr>
          <w:rFonts w:hint="eastAsia" w:ascii="仿宋" w:hAnsi="仿宋" w:eastAsia="仿宋" w:cs="仿宋_GB2312"/>
          <w:sz w:val="32"/>
          <w:szCs w:val="32"/>
        </w:rPr>
        <w:t>分，院级加</w:t>
      </w:r>
      <w:r>
        <w:rPr>
          <w:rFonts w:ascii="Times New Roman Regular" w:hAnsi="Times New Roman Regular" w:eastAsia="仿宋" w:cs="Times New Roman Regular"/>
          <w:sz w:val="32"/>
          <w:szCs w:val="32"/>
        </w:rPr>
        <w:t>0</w:t>
      </w:r>
      <w:r>
        <w:rPr>
          <w:rFonts w:hint="eastAsia" w:ascii="仿宋" w:hAnsi="仿宋" w:eastAsia="仿宋" w:cs="仿宋_GB2312"/>
          <w:sz w:val="32"/>
          <w:szCs w:val="32"/>
        </w:rPr>
        <w:t>.</w:t>
      </w:r>
      <w:r>
        <w:rPr>
          <w:rFonts w:ascii="Times New Roman Regular" w:hAnsi="Times New Roman Regular" w:eastAsia="仿宋" w:cs="Times New Roman Regular"/>
          <w:sz w:val="32"/>
          <w:szCs w:val="32"/>
        </w:rPr>
        <w:t>5</w:t>
      </w:r>
      <w:r>
        <w:rPr>
          <w:rFonts w:hint="eastAsia" w:ascii="仿宋" w:hAnsi="仿宋" w:eastAsia="仿宋" w:cs="仿宋_GB2312"/>
          <w:sz w:val="32"/>
          <w:szCs w:val="32"/>
        </w:rPr>
        <w:t>分。该项累计最高加</w:t>
      </w:r>
      <w:r>
        <w:rPr>
          <w:rFonts w:ascii="Times New Roman Regular" w:hAnsi="Times New Roman Regular" w:eastAsia="仿宋" w:cs="Times New Roman Regular"/>
          <w:sz w:val="32"/>
          <w:szCs w:val="32"/>
        </w:rPr>
        <w:t>5</w:t>
      </w:r>
      <w:r>
        <w:rPr>
          <w:rFonts w:hint="eastAsia" w:ascii="仿宋" w:hAnsi="仿宋" w:eastAsia="仿宋" w:cs="仿宋_GB2312"/>
          <w:sz w:val="32"/>
          <w:szCs w:val="32"/>
        </w:rPr>
        <w:t>分。</w:t>
      </w:r>
    </w:p>
    <w:p w14:paraId="53E4BEF0">
      <w:pPr>
        <w:pStyle w:val="7"/>
        <w:adjustRightInd w:val="0"/>
        <w:ind w:firstLine="643" w:firstLineChars="200"/>
        <w:rPr>
          <w:rFonts w:ascii="仿宋" w:hAnsi="仿宋" w:eastAsia="仿宋" w:cs="仿宋_GB2312"/>
          <w:b/>
          <w:color w:val="000000"/>
          <w:sz w:val="32"/>
          <w:szCs w:val="32"/>
        </w:rPr>
      </w:pPr>
      <w:r>
        <w:rPr>
          <w:rFonts w:hint="eastAsia" w:ascii="仿宋" w:hAnsi="仿宋" w:eastAsia="仿宋" w:cs="仿宋_GB2312"/>
          <w:b/>
          <w:color w:val="000000"/>
          <w:sz w:val="32"/>
          <w:szCs w:val="32"/>
        </w:rPr>
        <w:t>四、申报要求</w:t>
      </w:r>
    </w:p>
    <w:p w14:paraId="4341CD59">
      <w:pPr>
        <w:adjustRightInd w:val="0"/>
        <w:ind w:firstLine="640" w:firstLineChars="200"/>
        <w:rPr>
          <w:rFonts w:ascii="仿宋" w:hAnsi="仿宋" w:eastAsia="仿宋" w:cs="仿宋_GB2312"/>
          <w:color w:val="000000"/>
          <w:sz w:val="32"/>
          <w:szCs w:val="32"/>
        </w:rPr>
      </w:pPr>
      <w:r>
        <w:rPr>
          <w:rFonts w:hint="eastAsia" w:ascii="仿宋" w:hAnsi="仿宋" w:eastAsia="仿宋" w:cs="仿宋_GB2312"/>
          <w:color w:val="000000"/>
          <w:sz w:val="32"/>
          <w:szCs w:val="32"/>
        </w:rPr>
        <w:t>（一）申报数量。</w:t>
      </w:r>
      <w:r>
        <w:rPr>
          <w:rFonts w:hint="eastAsia" w:ascii="仿宋" w:hAnsi="仿宋" w:eastAsia="仿宋" w:cs="仿宋_GB2312"/>
          <w:sz w:val="32"/>
          <w:szCs w:val="32"/>
        </w:rPr>
        <w:t>各学院研究生会均可申报思</w:t>
      </w:r>
      <w:r>
        <w:rPr>
          <w:rFonts w:hint="eastAsia" w:ascii="仿宋" w:hAnsi="仿宋" w:eastAsia="仿宋" w:cs="仿宋_GB2312"/>
          <w:sz w:val="32"/>
          <w:szCs w:val="32"/>
          <w:lang w:val="en-US" w:eastAsia="zh-CN"/>
        </w:rPr>
        <w:t>想</w:t>
      </w:r>
      <w:r>
        <w:rPr>
          <w:rFonts w:hint="eastAsia" w:ascii="仿宋" w:hAnsi="仿宋" w:eastAsia="仿宋" w:cs="仿宋_GB2312"/>
          <w:sz w:val="32"/>
          <w:szCs w:val="32"/>
        </w:rPr>
        <w:t>引领单项奖。</w:t>
      </w:r>
    </w:p>
    <w:p w14:paraId="650C0679">
      <w:pPr>
        <w:adjustRightInd w:val="0"/>
        <w:ind w:firstLine="640" w:firstLineChars="200"/>
        <w:rPr>
          <w:rFonts w:ascii="仿宋" w:hAnsi="仿宋" w:eastAsia="仿宋" w:cs="仿宋_GB2312"/>
          <w:color w:val="000000"/>
          <w:sz w:val="32"/>
          <w:szCs w:val="32"/>
        </w:rPr>
      </w:pPr>
      <w:bookmarkStart w:id="0" w:name="_Hlk513137910"/>
      <w:r>
        <w:rPr>
          <w:rFonts w:hint="eastAsia" w:ascii="仿宋" w:hAnsi="仿宋" w:eastAsia="仿宋" w:cs="仿宋_GB2312"/>
          <w:color w:val="000000"/>
          <w:sz w:val="32"/>
          <w:szCs w:val="32"/>
        </w:rPr>
        <w:t>（二）申报条件。活动须为学院研究生会主办或承办、协办的相关活动。</w:t>
      </w:r>
    </w:p>
    <w:p w14:paraId="57B06DB3">
      <w:pPr>
        <w:adjustRightInd w:val="0"/>
        <w:ind w:firstLine="640" w:firstLineChars="200"/>
        <w:rPr>
          <w:rFonts w:ascii="仿宋" w:hAnsi="仿宋" w:eastAsia="仿宋" w:cs="仿宋_GB2312"/>
          <w:color w:val="000000"/>
          <w:sz w:val="32"/>
          <w:szCs w:val="32"/>
        </w:rPr>
      </w:pPr>
      <w:r>
        <w:rPr>
          <w:rFonts w:hint="eastAsia" w:ascii="仿宋" w:hAnsi="仿宋" w:eastAsia="仿宋" w:cs="仿宋_GB2312"/>
          <w:color w:val="000000"/>
          <w:sz w:val="32"/>
          <w:szCs w:val="32"/>
        </w:rPr>
        <w:t>（三）考核分为申报材料考核、风采展示和现场答辩。其中，申报材料由校研究生会考核小组依据本文件进行评分。风采展示由各学院通过学院研会微信公众号、学院官网等平台对所在学院研究生会思想政治</w:t>
      </w:r>
      <w:r>
        <w:rPr>
          <w:rFonts w:hint="eastAsia" w:ascii="仿宋" w:hAnsi="仿宋" w:eastAsia="仿宋" w:cs="仿宋_GB2312"/>
          <w:color w:val="000000"/>
          <w:sz w:val="32"/>
          <w:szCs w:val="32"/>
          <w:lang w:val="en-US" w:eastAsia="zh-CN"/>
        </w:rPr>
        <w:t>引领</w:t>
      </w:r>
      <w:r>
        <w:rPr>
          <w:rFonts w:hint="eastAsia" w:ascii="仿宋" w:hAnsi="仿宋" w:eastAsia="仿宋" w:cs="仿宋_GB2312"/>
          <w:color w:val="000000"/>
          <w:sz w:val="32"/>
          <w:szCs w:val="32"/>
        </w:rPr>
        <w:t>活动进行简要介绍，校研究生会在“中南财经政法大学研究生会”微信公众号组织投票，根据投票结果计分。现场答辩由校研究生会秘书处组织各学院主席团成员集中答辩。</w:t>
      </w:r>
    </w:p>
    <w:p w14:paraId="08733EC0">
      <w:pPr>
        <w:adjustRightInd w:val="0"/>
        <w:ind w:firstLine="640" w:firstLineChars="200"/>
        <w:rPr>
          <w:rFonts w:ascii="仿宋" w:hAnsi="仿宋" w:eastAsia="仿宋" w:cs="仿宋_GB2312"/>
          <w:color w:val="000000"/>
          <w:sz w:val="32"/>
          <w:szCs w:val="32"/>
        </w:rPr>
      </w:pPr>
      <w:r>
        <w:rPr>
          <w:rFonts w:hint="eastAsia" w:ascii="仿宋" w:hAnsi="仿宋" w:eastAsia="仿宋" w:cs="仿宋_GB2312"/>
          <w:color w:val="000000"/>
          <w:sz w:val="32"/>
          <w:szCs w:val="32"/>
        </w:rPr>
        <w:t>（四）</w:t>
      </w:r>
      <w:r>
        <w:rPr>
          <w:rFonts w:ascii="仿宋" w:hAnsi="仿宋" w:eastAsia="仿宋" w:cs="仿宋_GB2312"/>
          <w:color w:val="000000"/>
          <w:sz w:val="32"/>
          <w:szCs w:val="32"/>
        </w:rPr>
        <w:t>评比分数。实行百分制，各</w:t>
      </w:r>
      <w:r>
        <w:rPr>
          <w:rFonts w:hint="eastAsia" w:ascii="仿宋" w:hAnsi="仿宋" w:eastAsia="仿宋" w:cs="仿宋_GB2312"/>
          <w:color w:val="000000"/>
          <w:sz w:val="32"/>
          <w:szCs w:val="32"/>
        </w:rPr>
        <w:t>学院</w:t>
      </w:r>
      <w:r>
        <w:rPr>
          <w:rFonts w:ascii="仿宋" w:hAnsi="仿宋" w:eastAsia="仿宋" w:cs="仿宋_GB2312"/>
          <w:color w:val="000000"/>
          <w:sz w:val="32"/>
          <w:szCs w:val="32"/>
        </w:rPr>
        <w:t>最终得分=</w:t>
      </w:r>
      <w:r>
        <w:rPr>
          <w:rFonts w:ascii="Times New Roman Regular" w:hAnsi="Times New Roman Regular" w:eastAsia="仿宋" w:cs="Times New Roman Regular"/>
          <w:color w:val="000000"/>
          <w:sz w:val="32"/>
          <w:szCs w:val="32"/>
        </w:rPr>
        <w:t>20</w:t>
      </w:r>
      <w:r>
        <w:rPr>
          <w:rFonts w:ascii="仿宋" w:hAnsi="仿宋" w:eastAsia="仿宋" w:cs="仿宋_GB2312"/>
          <w:color w:val="000000"/>
          <w:sz w:val="32"/>
          <w:szCs w:val="32"/>
        </w:rPr>
        <w:t>%*申报材料得分+</w:t>
      </w:r>
      <w:r>
        <w:rPr>
          <w:rFonts w:ascii="Times New Roman Regular" w:hAnsi="Times New Roman Regular" w:eastAsia="仿宋" w:cs="Times New Roman Regular"/>
          <w:color w:val="000000"/>
          <w:sz w:val="32"/>
          <w:szCs w:val="32"/>
        </w:rPr>
        <w:t>30</w:t>
      </w:r>
      <w:r>
        <w:rPr>
          <w:rFonts w:ascii="仿宋" w:hAnsi="仿宋" w:eastAsia="仿宋" w:cs="仿宋_GB2312"/>
          <w:color w:val="000000"/>
          <w:sz w:val="32"/>
          <w:szCs w:val="32"/>
        </w:rPr>
        <w:t>%*</w:t>
      </w:r>
      <w:r>
        <w:rPr>
          <w:rFonts w:hint="eastAsia" w:ascii="仿宋" w:hAnsi="仿宋" w:eastAsia="仿宋" w:cs="仿宋_GB2312"/>
          <w:color w:val="000000"/>
          <w:sz w:val="32"/>
          <w:szCs w:val="32"/>
        </w:rPr>
        <w:t>风采</w:t>
      </w:r>
      <w:r>
        <w:rPr>
          <w:rFonts w:ascii="仿宋" w:hAnsi="仿宋" w:eastAsia="仿宋" w:cs="仿宋_GB2312"/>
          <w:color w:val="000000"/>
          <w:sz w:val="32"/>
          <w:szCs w:val="32"/>
        </w:rPr>
        <w:t>展示得分+</w:t>
      </w:r>
      <w:r>
        <w:rPr>
          <w:rFonts w:ascii="Times New Roman Regular" w:hAnsi="Times New Roman Regular" w:eastAsia="仿宋" w:cs="Times New Roman Regular"/>
          <w:color w:val="000000"/>
          <w:sz w:val="32"/>
          <w:szCs w:val="32"/>
        </w:rPr>
        <w:t>50</w:t>
      </w:r>
      <w:r>
        <w:rPr>
          <w:rFonts w:ascii="仿宋" w:hAnsi="仿宋" w:eastAsia="仿宋" w:cs="仿宋_GB2312"/>
          <w:color w:val="000000"/>
          <w:sz w:val="32"/>
          <w:szCs w:val="32"/>
        </w:rPr>
        <w:t>%*答辩得分。</w:t>
      </w:r>
      <w:r>
        <w:rPr>
          <w:rFonts w:hint="eastAsia" w:ascii="仿宋" w:hAnsi="仿宋" w:eastAsia="仿宋" w:cs="仿宋_GB2312"/>
          <w:color w:val="000000"/>
          <w:sz w:val="32"/>
          <w:szCs w:val="32"/>
        </w:rPr>
        <w:t>其中，风采展示得分按照如下规则计算：</w:t>
      </w:r>
    </w:p>
    <w:tbl>
      <w:tblPr>
        <w:tblStyle w:val="5"/>
        <w:tblW w:w="80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61"/>
        <w:gridCol w:w="3314"/>
      </w:tblGrid>
      <w:tr w14:paraId="503FEC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61" w:type="dxa"/>
            <w:tcBorders>
              <w:top w:val="single" w:color="auto" w:sz="4" w:space="0"/>
              <w:left w:val="single" w:color="auto" w:sz="4" w:space="0"/>
              <w:bottom w:val="single" w:color="auto" w:sz="4" w:space="0"/>
              <w:right w:val="single" w:color="auto" w:sz="4" w:space="0"/>
            </w:tcBorders>
            <w:noWrap/>
            <w:vAlign w:val="center"/>
          </w:tcPr>
          <w:p w14:paraId="1101CE1D">
            <w:pPr>
              <w:jc w:val="center"/>
              <w:rPr>
                <w:rFonts w:ascii="仿宋" w:hAnsi="仿宋" w:eastAsia="仿宋"/>
                <w:b/>
                <w:bCs/>
                <w:color w:val="000000"/>
                <w:sz w:val="32"/>
                <w:szCs w:val="32"/>
              </w:rPr>
            </w:pPr>
            <w:r>
              <w:rPr>
                <w:rFonts w:hint="eastAsia" w:ascii="仿宋" w:hAnsi="仿宋" w:eastAsia="仿宋"/>
                <w:b/>
                <w:bCs/>
                <w:color w:val="000000"/>
                <w:sz w:val="32"/>
                <w:szCs w:val="32"/>
              </w:rPr>
              <w:t>投票人数占学院</w:t>
            </w:r>
          </w:p>
          <w:p w14:paraId="14E7EA47">
            <w:pPr>
              <w:jc w:val="center"/>
              <w:rPr>
                <w:rFonts w:ascii="仿宋" w:hAnsi="仿宋" w:eastAsia="仿宋"/>
                <w:b/>
                <w:bCs/>
                <w:color w:val="000000"/>
                <w:sz w:val="32"/>
                <w:szCs w:val="32"/>
              </w:rPr>
            </w:pPr>
            <w:r>
              <w:rPr>
                <w:rFonts w:hint="eastAsia" w:ascii="仿宋" w:hAnsi="仿宋" w:eastAsia="仿宋"/>
                <w:b/>
                <w:bCs/>
                <w:color w:val="000000"/>
                <w:sz w:val="32"/>
                <w:szCs w:val="32"/>
              </w:rPr>
              <w:t>全日制</w:t>
            </w:r>
            <w:r>
              <w:rPr>
                <w:rFonts w:hint="eastAsia" w:ascii="仿宋" w:hAnsi="仿宋" w:eastAsia="仿宋"/>
                <w:b/>
                <w:bCs/>
                <w:color w:val="000000"/>
                <w:sz w:val="32"/>
                <w:szCs w:val="32"/>
                <w:lang w:val="en-US" w:eastAsia="zh-CN"/>
              </w:rPr>
              <w:t>硕博</w:t>
            </w:r>
            <w:r>
              <w:rPr>
                <w:rFonts w:hint="eastAsia" w:ascii="仿宋" w:hAnsi="仿宋" w:eastAsia="仿宋"/>
                <w:b/>
                <w:bCs/>
                <w:color w:val="000000"/>
                <w:sz w:val="32"/>
                <w:szCs w:val="32"/>
              </w:rPr>
              <w:t>研究生总人数的比例</w:t>
            </w:r>
          </w:p>
        </w:tc>
        <w:tc>
          <w:tcPr>
            <w:tcW w:w="3314" w:type="dxa"/>
            <w:tcBorders>
              <w:top w:val="single" w:color="auto" w:sz="4" w:space="0"/>
              <w:left w:val="nil"/>
              <w:bottom w:val="single" w:color="auto" w:sz="4" w:space="0"/>
              <w:right w:val="single" w:color="auto" w:sz="4" w:space="0"/>
            </w:tcBorders>
            <w:noWrap/>
            <w:vAlign w:val="center"/>
          </w:tcPr>
          <w:p w14:paraId="4DD9F081">
            <w:pPr>
              <w:jc w:val="center"/>
              <w:rPr>
                <w:rFonts w:ascii="仿宋" w:hAnsi="仿宋" w:eastAsia="仿宋"/>
                <w:b/>
                <w:bCs/>
                <w:color w:val="000000"/>
                <w:sz w:val="32"/>
                <w:szCs w:val="32"/>
              </w:rPr>
            </w:pPr>
            <w:r>
              <w:rPr>
                <w:rFonts w:hint="eastAsia" w:ascii="仿宋" w:hAnsi="仿宋" w:eastAsia="仿宋"/>
                <w:b/>
                <w:bCs/>
                <w:color w:val="000000"/>
                <w:sz w:val="32"/>
                <w:szCs w:val="32"/>
              </w:rPr>
              <w:t>风采展示得分</w:t>
            </w:r>
          </w:p>
        </w:tc>
      </w:tr>
      <w:tr w14:paraId="2D7739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61" w:type="dxa"/>
            <w:tcBorders>
              <w:top w:val="single" w:color="auto" w:sz="4" w:space="0"/>
              <w:left w:val="single" w:color="auto" w:sz="4" w:space="0"/>
              <w:bottom w:val="single" w:color="auto" w:sz="4" w:space="0"/>
              <w:right w:val="single" w:color="auto" w:sz="4" w:space="0"/>
            </w:tcBorders>
            <w:noWrap/>
            <w:vAlign w:val="center"/>
          </w:tcPr>
          <w:p w14:paraId="23E4329F">
            <w:pPr>
              <w:jc w:val="center"/>
              <w:rPr>
                <w:rFonts w:ascii="仿宋" w:hAnsi="仿宋" w:eastAsia="仿宋"/>
                <w:color w:val="000000"/>
                <w:sz w:val="32"/>
                <w:szCs w:val="32"/>
              </w:rPr>
            </w:pPr>
            <w:r>
              <w:rPr>
                <w:rFonts w:hint="eastAsia" w:ascii="仿宋" w:hAnsi="仿宋" w:eastAsia="仿宋"/>
                <w:color w:val="000000"/>
                <w:sz w:val="32"/>
                <w:szCs w:val="32"/>
              </w:rPr>
              <w:t>≥</w:t>
            </w:r>
            <w:r>
              <w:rPr>
                <w:rFonts w:ascii="Times New Roman Regular" w:hAnsi="Times New Roman Regular" w:eastAsia="仿宋" w:cs="Times New Roman Regular"/>
                <w:color w:val="000000"/>
                <w:sz w:val="32"/>
                <w:szCs w:val="32"/>
              </w:rPr>
              <w:t>90</w:t>
            </w:r>
            <w:r>
              <w:rPr>
                <w:rFonts w:hint="eastAsia" w:ascii="仿宋" w:hAnsi="仿宋" w:eastAsia="仿宋"/>
                <w:color w:val="000000"/>
                <w:sz w:val="32"/>
                <w:szCs w:val="32"/>
              </w:rPr>
              <w:t>%</w:t>
            </w:r>
          </w:p>
        </w:tc>
        <w:tc>
          <w:tcPr>
            <w:tcW w:w="3314" w:type="dxa"/>
            <w:tcBorders>
              <w:top w:val="single" w:color="auto" w:sz="4" w:space="0"/>
              <w:left w:val="nil"/>
              <w:bottom w:val="single" w:color="auto" w:sz="4" w:space="0"/>
              <w:right w:val="single" w:color="auto" w:sz="4" w:space="0"/>
            </w:tcBorders>
            <w:noWrap/>
            <w:vAlign w:val="center"/>
          </w:tcPr>
          <w:p w14:paraId="0A310221">
            <w:pPr>
              <w:jc w:val="center"/>
              <w:rPr>
                <w:rFonts w:ascii="仿宋" w:hAnsi="仿宋" w:eastAsia="仿宋"/>
                <w:color w:val="000000"/>
                <w:sz w:val="32"/>
                <w:szCs w:val="32"/>
              </w:rPr>
            </w:pPr>
            <w:r>
              <w:rPr>
                <w:rFonts w:ascii="Times New Roman Regular" w:hAnsi="Times New Roman Regular" w:eastAsia="仿宋" w:cs="Times New Roman Regular"/>
                <w:color w:val="000000"/>
                <w:sz w:val="32"/>
                <w:szCs w:val="32"/>
              </w:rPr>
              <w:t>100</w:t>
            </w:r>
          </w:p>
        </w:tc>
      </w:tr>
      <w:tr w14:paraId="032788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61" w:type="dxa"/>
            <w:tcBorders>
              <w:top w:val="single" w:color="auto" w:sz="4" w:space="0"/>
              <w:left w:val="single" w:color="auto" w:sz="4" w:space="0"/>
              <w:bottom w:val="single" w:color="auto" w:sz="4" w:space="0"/>
              <w:right w:val="single" w:color="auto" w:sz="4" w:space="0"/>
            </w:tcBorders>
            <w:noWrap/>
            <w:vAlign w:val="center"/>
          </w:tcPr>
          <w:p w14:paraId="60DB6257">
            <w:pPr>
              <w:jc w:val="center"/>
              <w:rPr>
                <w:rFonts w:ascii="仿宋" w:hAnsi="仿宋" w:eastAsia="仿宋"/>
                <w:color w:val="000000"/>
                <w:sz w:val="32"/>
                <w:szCs w:val="32"/>
              </w:rPr>
            </w:pPr>
            <w:r>
              <w:rPr>
                <w:rFonts w:hint="eastAsia" w:ascii="仿宋" w:hAnsi="仿宋" w:eastAsia="仿宋"/>
                <w:color w:val="000000"/>
                <w:sz w:val="32"/>
                <w:szCs w:val="32"/>
              </w:rPr>
              <w:t>≥</w:t>
            </w:r>
            <w:r>
              <w:rPr>
                <w:rFonts w:ascii="Times New Roman Regular" w:hAnsi="Times New Roman Regular" w:eastAsia="仿宋" w:cs="Times New Roman Regular"/>
                <w:color w:val="000000"/>
                <w:sz w:val="32"/>
                <w:szCs w:val="32"/>
              </w:rPr>
              <w:t>80</w:t>
            </w:r>
            <w:r>
              <w:rPr>
                <w:rFonts w:hint="eastAsia" w:ascii="仿宋" w:hAnsi="仿宋" w:eastAsia="仿宋"/>
                <w:color w:val="000000"/>
                <w:sz w:val="32"/>
                <w:szCs w:val="32"/>
              </w:rPr>
              <w:t>%，＜</w:t>
            </w:r>
            <w:r>
              <w:rPr>
                <w:rFonts w:ascii="Times New Roman Regular" w:hAnsi="Times New Roman Regular" w:eastAsia="仿宋" w:cs="Times New Roman Regular"/>
                <w:color w:val="000000"/>
                <w:sz w:val="32"/>
                <w:szCs w:val="32"/>
              </w:rPr>
              <w:t>90</w:t>
            </w:r>
            <w:r>
              <w:rPr>
                <w:rFonts w:hint="eastAsia" w:ascii="仿宋" w:hAnsi="仿宋" w:eastAsia="仿宋"/>
                <w:color w:val="000000"/>
                <w:sz w:val="32"/>
                <w:szCs w:val="32"/>
              </w:rPr>
              <w:t>%</w:t>
            </w:r>
          </w:p>
        </w:tc>
        <w:tc>
          <w:tcPr>
            <w:tcW w:w="3314" w:type="dxa"/>
            <w:tcBorders>
              <w:top w:val="single" w:color="auto" w:sz="4" w:space="0"/>
              <w:left w:val="nil"/>
              <w:bottom w:val="single" w:color="auto" w:sz="4" w:space="0"/>
              <w:right w:val="single" w:color="auto" w:sz="4" w:space="0"/>
            </w:tcBorders>
            <w:noWrap/>
            <w:vAlign w:val="center"/>
          </w:tcPr>
          <w:p w14:paraId="54644209">
            <w:pPr>
              <w:jc w:val="center"/>
              <w:rPr>
                <w:rFonts w:ascii="仿宋" w:hAnsi="仿宋" w:eastAsia="仿宋"/>
                <w:color w:val="000000"/>
                <w:sz w:val="32"/>
                <w:szCs w:val="32"/>
              </w:rPr>
            </w:pPr>
            <w:r>
              <w:rPr>
                <w:rFonts w:ascii="Times New Roman Regular" w:hAnsi="Times New Roman Regular" w:eastAsia="仿宋" w:cs="Times New Roman Regular"/>
                <w:color w:val="000000"/>
                <w:sz w:val="32"/>
                <w:szCs w:val="32"/>
              </w:rPr>
              <w:t>90</w:t>
            </w:r>
          </w:p>
        </w:tc>
      </w:tr>
      <w:tr w14:paraId="6E2195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61" w:type="dxa"/>
            <w:tcBorders>
              <w:top w:val="single" w:color="auto" w:sz="4" w:space="0"/>
              <w:left w:val="single" w:color="auto" w:sz="4" w:space="0"/>
              <w:bottom w:val="single" w:color="auto" w:sz="4" w:space="0"/>
              <w:right w:val="single" w:color="auto" w:sz="4" w:space="0"/>
            </w:tcBorders>
            <w:noWrap/>
            <w:vAlign w:val="center"/>
          </w:tcPr>
          <w:p w14:paraId="20EDB62E">
            <w:pPr>
              <w:jc w:val="center"/>
              <w:rPr>
                <w:rFonts w:ascii="仿宋" w:hAnsi="仿宋" w:eastAsia="仿宋"/>
                <w:color w:val="000000"/>
                <w:sz w:val="32"/>
                <w:szCs w:val="32"/>
              </w:rPr>
            </w:pPr>
            <w:r>
              <w:rPr>
                <w:rFonts w:hint="eastAsia" w:ascii="仿宋" w:hAnsi="仿宋" w:eastAsia="仿宋"/>
                <w:color w:val="000000"/>
                <w:sz w:val="32"/>
                <w:szCs w:val="32"/>
              </w:rPr>
              <w:t>≥</w:t>
            </w:r>
            <w:r>
              <w:rPr>
                <w:rFonts w:ascii="Times New Roman Regular" w:hAnsi="Times New Roman Regular" w:eastAsia="仿宋" w:cs="Times New Roman Regular"/>
                <w:color w:val="000000"/>
                <w:sz w:val="32"/>
                <w:szCs w:val="32"/>
              </w:rPr>
              <w:t>70</w:t>
            </w:r>
            <w:r>
              <w:rPr>
                <w:rFonts w:hint="eastAsia" w:ascii="仿宋" w:hAnsi="仿宋" w:eastAsia="仿宋"/>
                <w:color w:val="000000"/>
                <w:sz w:val="32"/>
                <w:szCs w:val="32"/>
              </w:rPr>
              <w:t>%，＜</w:t>
            </w:r>
            <w:r>
              <w:rPr>
                <w:rFonts w:ascii="Times New Roman Regular" w:hAnsi="Times New Roman Regular" w:eastAsia="仿宋" w:cs="Times New Roman Regular"/>
                <w:color w:val="000000"/>
                <w:sz w:val="32"/>
                <w:szCs w:val="32"/>
              </w:rPr>
              <w:t>80</w:t>
            </w:r>
            <w:r>
              <w:rPr>
                <w:rFonts w:hint="eastAsia" w:ascii="仿宋" w:hAnsi="仿宋" w:eastAsia="仿宋"/>
                <w:color w:val="000000"/>
                <w:sz w:val="32"/>
                <w:szCs w:val="32"/>
              </w:rPr>
              <w:t>%</w:t>
            </w:r>
          </w:p>
        </w:tc>
        <w:tc>
          <w:tcPr>
            <w:tcW w:w="3314" w:type="dxa"/>
            <w:tcBorders>
              <w:top w:val="single" w:color="auto" w:sz="4" w:space="0"/>
              <w:left w:val="nil"/>
              <w:bottom w:val="single" w:color="auto" w:sz="4" w:space="0"/>
              <w:right w:val="single" w:color="auto" w:sz="4" w:space="0"/>
            </w:tcBorders>
            <w:noWrap/>
            <w:vAlign w:val="center"/>
          </w:tcPr>
          <w:p w14:paraId="68669ACA">
            <w:pPr>
              <w:jc w:val="center"/>
              <w:rPr>
                <w:rFonts w:ascii="仿宋" w:hAnsi="仿宋" w:eastAsia="仿宋"/>
                <w:color w:val="000000"/>
                <w:sz w:val="32"/>
                <w:szCs w:val="32"/>
              </w:rPr>
            </w:pPr>
            <w:r>
              <w:rPr>
                <w:rFonts w:ascii="Times New Roman Regular" w:hAnsi="Times New Roman Regular" w:eastAsia="仿宋" w:cs="Times New Roman Regular"/>
                <w:color w:val="000000"/>
                <w:sz w:val="32"/>
                <w:szCs w:val="32"/>
              </w:rPr>
              <w:t>80</w:t>
            </w:r>
          </w:p>
        </w:tc>
      </w:tr>
      <w:tr w14:paraId="6D51C8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61" w:type="dxa"/>
            <w:tcBorders>
              <w:top w:val="single" w:color="auto" w:sz="4" w:space="0"/>
              <w:left w:val="single" w:color="auto" w:sz="4" w:space="0"/>
              <w:bottom w:val="single" w:color="auto" w:sz="4" w:space="0"/>
              <w:right w:val="single" w:color="auto" w:sz="4" w:space="0"/>
            </w:tcBorders>
            <w:noWrap/>
            <w:vAlign w:val="center"/>
          </w:tcPr>
          <w:p w14:paraId="40A9A9C6">
            <w:pPr>
              <w:jc w:val="center"/>
              <w:rPr>
                <w:rFonts w:ascii="仿宋" w:hAnsi="仿宋" w:eastAsia="仿宋"/>
                <w:color w:val="000000"/>
                <w:sz w:val="32"/>
                <w:szCs w:val="32"/>
              </w:rPr>
            </w:pPr>
            <w:r>
              <w:rPr>
                <w:rFonts w:hint="eastAsia" w:ascii="仿宋" w:hAnsi="仿宋" w:eastAsia="仿宋"/>
                <w:color w:val="000000"/>
                <w:sz w:val="32"/>
                <w:szCs w:val="32"/>
              </w:rPr>
              <w:t>≥</w:t>
            </w:r>
            <w:r>
              <w:rPr>
                <w:rFonts w:ascii="Times New Roman Regular" w:hAnsi="Times New Roman Regular" w:eastAsia="仿宋" w:cs="Times New Roman Regular"/>
                <w:color w:val="000000"/>
                <w:sz w:val="32"/>
                <w:szCs w:val="32"/>
              </w:rPr>
              <w:t>60</w:t>
            </w:r>
            <w:r>
              <w:rPr>
                <w:rFonts w:hint="eastAsia" w:ascii="仿宋" w:hAnsi="仿宋" w:eastAsia="仿宋"/>
                <w:color w:val="000000"/>
                <w:sz w:val="32"/>
                <w:szCs w:val="32"/>
              </w:rPr>
              <w:t>%，＜</w:t>
            </w:r>
            <w:r>
              <w:rPr>
                <w:rFonts w:ascii="Times New Roman Regular" w:hAnsi="Times New Roman Regular" w:eastAsia="仿宋" w:cs="Times New Roman Regular"/>
                <w:color w:val="000000"/>
                <w:sz w:val="32"/>
                <w:szCs w:val="32"/>
              </w:rPr>
              <w:t>70</w:t>
            </w:r>
            <w:r>
              <w:rPr>
                <w:rFonts w:hint="eastAsia" w:ascii="仿宋" w:hAnsi="仿宋" w:eastAsia="仿宋"/>
                <w:color w:val="000000"/>
                <w:sz w:val="32"/>
                <w:szCs w:val="32"/>
              </w:rPr>
              <w:t>%</w:t>
            </w:r>
          </w:p>
        </w:tc>
        <w:tc>
          <w:tcPr>
            <w:tcW w:w="3314" w:type="dxa"/>
            <w:tcBorders>
              <w:top w:val="single" w:color="auto" w:sz="4" w:space="0"/>
              <w:left w:val="nil"/>
              <w:bottom w:val="single" w:color="auto" w:sz="4" w:space="0"/>
              <w:right w:val="single" w:color="auto" w:sz="4" w:space="0"/>
            </w:tcBorders>
            <w:noWrap/>
            <w:vAlign w:val="center"/>
          </w:tcPr>
          <w:p w14:paraId="320812B4">
            <w:pPr>
              <w:jc w:val="center"/>
              <w:rPr>
                <w:rFonts w:ascii="仿宋" w:hAnsi="仿宋" w:eastAsia="仿宋"/>
                <w:color w:val="000000"/>
                <w:sz w:val="32"/>
                <w:szCs w:val="32"/>
              </w:rPr>
            </w:pPr>
            <w:r>
              <w:rPr>
                <w:rFonts w:ascii="Times New Roman Regular" w:hAnsi="Times New Roman Regular" w:eastAsia="仿宋" w:cs="Times New Roman Regular"/>
                <w:color w:val="000000"/>
                <w:sz w:val="32"/>
                <w:szCs w:val="32"/>
              </w:rPr>
              <w:t>70</w:t>
            </w:r>
          </w:p>
        </w:tc>
      </w:tr>
      <w:tr w14:paraId="711E10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61" w:type="dxa"/>
            <w:tcBorders>
              <w:top w:val="single" w:color="auto" w:sz="4" w:space="0"/>
              <w:left w:val="single" w:color="auto" w:sz="4" w:space="0"/>
              <w:bottom w:val="single" w:color="auto" w:sz="4" w:space="0"/>
              <w:right w:val="single" w:color="auto" w:sz="4" w:space="0"/>
            </w:tcBorders>
            <w:noWrap/>
            <w:vAlign w:val="center"/>
          </w:tcPr>
          <w:p w14:paraId="63792E8D">
            <w:pPr>
              <w:jc w:val="center"/>
              <w:rPr>
                <w:rFonts w:ascii="仿宋" w:hAnsi="仿宋" w:eastAsia="仿宋"/>
                <w:color w:val="000000"/>
                <w:sz w:val="32"/>
                <w:szCs w:val="32"/>
              </w:rPr>
            </w:pPr>
            <w:r>
              <w:rPr>
                <w:rFonts w:hint="eastAsia" w:ascii="仿宋" w:hAnsi="仿宋" w:eastAsia="仿宋"/>
                <w:color w:val="000000"/>
                <w:sz w:val="32"/>
                <w:szCs w:val="32"/>
              </w:rPr>
              <w:t>≥</w:t>
            </w:r>
            <w:r>
              <w:rPr>
                <w:rFonts w:ascii="Times New Roman Regular" w:hAnsi="Times New Roman Regular" w:eastAsia="仿宋" w:cs="Times New Roman Regular"/>
                <w:color w:val="000000"/>
                <w:sz w:val="32"/>
                <w:szCs w:val="32"/>
              </w:rPr>
              <w:t>50</w:t>
            </w:r>
            <w:r>
              <w:rPr>
                <w:rFonts w:hint="eastAsia" w:ascii="仿宋" w:hAnsi="仿宋" w:eastAsia="仿宋"/>
                <w:color w:val="000000"/>
                <w:sz w:val="32"/>
                <w:szCs w:val="32"/>
              </w:rPr>
              <w:t>%，＜</w:t>
            </w:r>
            <w:r>
              <w:rPr>
                <w:rFonts w:ascii="Times New Roman Regular" w:hAnsi="Times New Roman Regular" w:eastAsia="仿宋" w:cs="Times New Roman Regular"/>
                <w:color w:val="000000"/>
                <w:sz w:val="32"/>
                <w:szCs w:val="32"/>
              </w:rPr>
              <w:t>60</w:t>
            </w:r>
            <w:r>
              <w:rPr>
                <w:rFonts w:hint="eastAsia" w:ascii="仿宋" w:hAnsi="仿宋" w:eastAsia="仿宋"/>
                <w:color w:val="000000"/>
                <w:sz w:val="32"/>
                <w:szCs w:val="32"/>
              </w:rPr>
              <w:t>%</w:t>
            </w:r>
          </w:p>
        </w:tc>
        <w:tc>
          <w:tcPr>
            <w:tcW w:w="3314" w:type="dxa"/>
            <w:tcBorders>
              <w:top w:val="single" w:color="auto" w:sz="4" w:space="0"/>
              <w:left w:val="nil"/>
              <w:bottom w:val="single" w:color="auto" w:sz="4" w:space="0"/>
              <w:right w:val="single" w:color="auto" w:sz="4" w:space="0"/>
            </w:tcBorders>
            <w:noWrap/>
            <w:vAlign w:val="center"/>
          </w:tcPr>
          <w:p w14:paraId="66480839">
            <w:pPr>
              <w:jc w:val="center"/>
              <w:rPr>
                <w:rFonts w:ascii="仿宋" w:hAnsi="仿宋" w:eastAsia="仿宋"/>
                <w:color w:val="000000"/>
                <w:sz w:val="32"/>
                <w:szCs w:val="32"/>
              </w:rPr>
            </w:pPr>
            <w:r>
              <w:rPr>
                <w:rFonts w:ascii="Times New Roman Regular" w:hAnsi="Times New Roman Regular" w:eastAsia="仿宋" w:cs="Times New Roman Regular"/>
                <w:color w:val="000000"/>
                <w:sz w:val="32"/>
                <w:szCs w:val="32"/>
              </w:rPr>
              <w:t>60</w:t>
            </w:r>
          </w:p>
        </w:tc>
      </w:tr>
      <w:tr w14:paraId="3B414B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61" w:type="dxa"/>
            <w:tcBorders>
              <w:top w:val="single" w:color="auto" w:sz="4" w:space="0"/>
              <w:left w:val="single" w:color="auto" w:sz="4" w:space="0"/>
              <w:bottom w:val="single" w:color="auto" w:sz="4" w:space="0"/>
              <w:right w:val="single" w:color="auto" w:sz="4" w:space="0"/>
            </w:tcBorders>
            <w:noWrap/>
            <w:vAlign w:val="center"/>
          </w:tcPr>
          <w:p w14:paraId="16222A93">
            <w:pPr>
              <w:jc w:val="center"/>
              <w:rPr>
                <w:rFonts w:ascii="仿宋" w:hAnsi="仿宋" w:eastAsia="仿宋"/>
                <w:color w:val="000000"/>
                <w:sz w:val="32"/>
                <w:szCs w:val="32"/>
              </w:rPr>
            </w:pPr>
            <w:r>
              <w:rPr>
                <w:rFonts w:hint="eastAsia" w:ascii="仿宋" w:hAnsi="仿宋" w:eastAsia="仿宋"/>
                <w:color w:val="000000"/>
                <w:sz w:val="32"/>
                <w:szCs w:val="32"/>
              </w:rPr>
              <w:t>＜</w:t>
            </w:r>
            <w:r>
              <w:rPr>
                <w:rFonts w:ascii="Times New Roman Regular" w:hAnsi="Times New Roman Regular" w:eastAsia="仿宋" w:cs="Times New Roman Regular"/>
                <w:color w:val="000000"/>
                <w:sz w:val="32"/>
                <w:szCs w:val="32"/>
              </w:rPr>
              <w:t>50</w:t>
            </w:r>
            <w:r>
              <w:rPr>
                <w:rFonts w:hint="eastAsia" w:ascii="仿宋" w:hAnsi="仿宋" w:eastAsia="仿宋"/>
                <w:color w:val="000000"/>
                <w:sz w:val="32"/>
                <w:szCs w:val="32"/>
              </w:rPr>
              <w:t>%</w:t>
            </w:r>
          </w:p>
        </w:tc>
        <w:tc>
          <w:tcPr>
            <w:tcW w:w="3314" w:type="dxa"/>
            <w:tcBorders>
              <w:top w:val="single" w:color="auto" w:sz="4" w:space="0"/>
              <w:left w:val="nil"/>
              <w:bottom w:val="single" w:color="auto" w:sz="4" w:space="0"/>
              <w:right w:val="single" w:color="auto" w:sz="4" w:space="0"/>
            </w:tcBorders>
            <w:noWrap/>
            <w:vAlign w:val="center"/>
          </w:tcPr>
          <w:p w14:paraId="537179F3">
            <w:pPr>
              <w:jc w:val="center"/>
              <w:rPr>
                <w:rFonts w:ascii="仿宋" w:hAnsi="仿宋" w:eastAsia="仿宋"/>
                <w:color w:val="000000"/>
                <w:sz w:val="32"/>
                <w:szCs w:val="32"/>
              </w:rPr>
            </w:pPr>
            <w:r>
              <w:rPr>
                <w:rFonts w:ascii="Times New Roman Regular" w:hAnsi="Times New Roman Regular" w:eastAsia="仿宋" w:cs="Times New Roman Regular"/>
                <w:color w:val="000000"/>
                <w:sz w:val="32"/>
                <w:szCs w:val="32"/>
              </w:rPr>
              <w:t>0</w:t>
            </w:r>
          </w:p>
        </w:tc>
      </w:tr>
      <w:bookmarkEnd w:id="0"/>
    </w:tbl>
    <w:p w14:paraId="22824F57">
      <w:pPr>
        <w:pStyle w:val="7"/>
        <w:wordWrap w:val="0"/>
        <w:adjustRightInd w:val="0"/>
        <w:jc w:val="right"/>
        <w:rPr>
          <w:rFonts w:ascii="仿宋" w:hAnsi="仿宋" w:eastAsia="仿宋" w:cs="仿宋_GB2312"/>
          <w:sz w:val="32"/>
          <w:szCs w:val="32"/>
        </w:rPr>
      </w:pPr>
    </w:p>
    <w:p w14:paraId="13A5DF7A">
      <w:pPr>
        <w:pStyle w:val="7"/>
        <w:wordWrap w:val="0"/>
        <w:adjustRightInd w:val="0"/>
        <w:jc w:val="right"/>
        <w:rPr>
          <w:rFonts w:ascii="仿宋" w:hAnsi="仿宋" w:eastAsia="仿宋" w:cs="仿宋_GB2312"/>
          <w:sz w:val="32"/>
          <w:szCs w:val="32"/>
        </w:rPr>
      </w:pPr>
      <w:r>
        <w:rPr>
          <w:rFonts w:hint="eastAsia" w:ascii="仿宋" w:hAnsi="仿宋" w:eastAsia="仿宋" w:cs="仿宋_GB2312"/>
          <w:sz w:val="32"/>
          <w:szCs w:val="32"/>
        </w:rPr>
        <w:t>中南财经政法大学研究生会</w:t>
      </w:r>
    </w:p>
    <w:p w14:paraId="3D5C94DA">
      <w:pPr>
        <w:pStyle w:val="7"/>
        <w:wordWrap w:val="0"/>
        <w:adjustRightInd w:val="0"/>
        <w:jc w:val="right"/>
        <w:rPr>
          <w:rFonts w:ascii="仿宋" w:hAnsi="仿宋" w:eastAsia="仿宋" w:cs="仿宋_GB2312"/>
          <w:sz w:val="32"/>
          <w:szCs w:val="32"/>
        </w:rPr>
      </w:pPr>
      <w:r>
        <w:rPr>
          <w:rFonts w:ascii="Times New Roman Regular" w:hAnsi="Times New Roman Regular" w:eastAsia="仿宋" w:cs="Times New Roman Regular"/>
          <w:sz w:val="32"/>
          <w:szCs w:val="32"/>
        </w:rPr>
        <w:t>2026</w:t>
      </w:r>
      <w:r>
        <w:rPr>
          <w:rFonts w:hint="eastAsia" w:ascii="仿宋" w:hAnsi="仿宋" w:eastAsia="仿宋" w:cs="仿宋_GB2312"/>
          <w:sz w:val="32"/>
          <w:szCs w:val="32"/>
        </w:rPr>
        <w:t>年</w:t>
      </w:r>
      <w:r>
        <w:rPr>
          <w:rFonts w:ascii="Times New Roman Regular" w:hAnsi="Times New Roman Regular" w:eastAsia="仿宋" w:cs="Times New Roman Regular"/>
          <w:sz w:val="32"/>
          <w:szCs w:val="32"/>
        </w:rPr>
        <w:t>4</w:t>
      </w:r>
      <w:r>
        <w:rPr>
          <w:rFonts w:hint="eastAsia" w:ascii="仿宋" w:hAnsi="仿宋" w:eastAsia="仿宋" w:cs="仿宋_GB2312"/>
          <w:sz w:val="32"/>
          <w:szCs w:val="32"/>
        </w:rPr>
        <w:t>月</w:t>
      </w:r>
      <w:r>
        <w:rPr>
          <w:rFonts w:hint="eastAsia" w:ascii="Times New Roman Regular" w:hAnsi="Times New Roman Regular" w:eastAsia="仿宋" w:cs="Times New Roman Regular"/>
          <w:sz w:val="32"/>
          <w:szCs w:val="32"/>
          <w:lang w:val="en-US" w:eastAsia="zh-CN"/>
        </w:rPr>
        <w:t>30</w:t>
      </w:r>
      <w:bookmarkStart w:id="1" w:name="_GoBack"/>
      <w:bookmarkEnd w:id="1"/>
      <w:r>
        <w:rPr>
          <w:rFonts w:hint="eastAsia" w:ascii="仿宋" w:hAnsi="仿宋" w:eastAsia="仿宋" w:cs="仿宋_GB2312"/>
          <w:sz w:val="32"/>
          <w:szCs w:val="32"/>
        </w:rPr>
        <w:t>日</w:t>
      </w:r>
    </w:p>
    <w:p w14:paraId="3B70551F">
      <w:pPr>
        <w:adjustRightInd w:val="0"/>
        <w:ind w:right="1280"/>
        <w:jc w:val="left"/>
        <w:rPr>
          <w:rFonts w:ascii="仿宋" w:hAnsi="仿宋" w:eastAsia="仿宋" w:cs="仿宋_GB2312"/>
          <w:sz w:val="32"/>
          <w:szCs w:val="32"/>
        </w:rPr>
      </w:pPr>
      <w:r>
        <w:rPr>
          <w:rFonts w:hint="eastAsia" w:ascii="仿宋" w:hAnsi="仿宋" w:eastAsia="仿宋" w:cs="仿宋_GB2312"/>
          <w:sz w:val="32"/>
          <w:szCs w:val="32"/>
        </w:rPr>
        <w:br w:type="page"/>
      </w:r>
    </w:p>
    <w:p w14:paraId="0EBFF1CB">
      <w:pPr>
        <w:pStyle w:val="7"/>
        <w:adjustRightInd w:val="0"/>
        <w:jc w:val="center"/>
        <w:rPr>
          <w:rFonts w:ascii="仿宋" w:hAnsi="仿宋" w:eastAsia="仿宋"/>
          <w:b/>
          <w:sz w:val="32"/>
          <w:szCs w:val="32"/>
        </w:rPr>
      </w:pPr>
      <w:r>
        <w:rPr>
          <w:rFonts w:ascii="Times New Roman Regular" w:hAnsi="Times New Roman Regular" w:eastAsia="仿宋" w:cs="Times New Roman Regular"/>
          <w:b/>
          <w:sz w:val="32"/>
          <w:szCs w:val="32"/>
        </w:rPr>
        <w:t>2025</w:t>
      </w:r>
      <w:r>
        <w:rPr>
          <w:rFonts w:hint="eastAsia" w:ascii="Times New Roman Regular" w:hAnsi="Times New Roman Regular" w:eastAsia="仿宋" w:cs="Times New Roman Regular"/>
          <w:b/>
          <w:sz w:val="32"/>
          <w:szCs w:val="32"/>
          <w:lang w:val="en-US" w:eastAsia="zh-CN"/>
        </w:rPr>
        <w:t>-</w:t>
      </w:r>
      <w:r>
        <w:rPr>
          <w:rFonts w:ascii="Times New Roman Regular" w:hAnsi="Times New Roman Regular" w:eastAsia="仿宋" w:cs="Times New Roman Regular"/>
          <w:b/>
          <w:sz w:val="32"/>
          <w:szCs w:val="32"/>
        </w:rPr>
        <w:t>2026</w:t>
      </w:r>
      <w:r>
        <w:rPr>
          <w:rFonts w:hint="eastAsia" w:ascii="仿宋" w:hAnsi="仿宋" w:eastAsia="仿宋"/>
          <w:b/>
          <w:sz w:val="32"/>
          <w:szCs w:val="32"/>
        </w:rPr>
        <w:t>学年研究生综合表彰“思</w:t>
      </w:r>
      <w:r>
        <w:rPr>
          <w:rFonts w:hint="eastAsia" w:ascii="仿宋" w:hAnsi="仿宋" w:eastAsia="仿宋"/>
          <w:b/>
          <w:sz w:val="32"/>
          <w:szCs w:val="32"/>
          <w:lang w:val="en-US" w:eastAsia="zh-CN"/>
        </w:rPr>
        <w:t>想</w:t>
      </w:r>
      <w:r>
        <w:rPr>
          <w:rFonts w:hint="eastAsia" w:ascii="仿宋" w:hAnsi="仿宋" w:eastAsia="仿宋"/>
          <w:b/>
          <w:sz w:val="32"/>
          <w:szCs w:val="32"/>
        </w:rPr>
        <w:t>引领单项奖”申报表</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2"/>
        <w:gridCol w:w="1263"/>
        <w:gridCol w:w="1975"/>
        <w:gridCol w:w="2160"/>
        <w:gridCol w:w="2182"/>
      </w:tblGrid>
      <w:tr w14:paraId="789342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2165" w:type="dxa"/>
            <w:gridSpan w:val="2"/>
            <w:noWrap/>
            <w:vAlign w:val="center"/>
          </w:tcPr>
          <w:p w14:paraId="7AE74198">
            <w:pPr>
              <w:spacing w:line="460" w:lineRule="exact"/>
              <w:jc w:val="center"/>
              <w:rPr>
                <w:rFonts w:ascii="仿宋" w:hAnsi="仿宋" w:eastAsia="仿宋"/>
                <w:b/>
                <w:sz w:val="24"/>
              </w:rPr>
            </w:pPr>
            <w:r>
              <w:rPr>
                <w:rFonts w:hint="eastAsia" w:ascii="仿宋" w:hAnsi="仿宋" w:eastAsia="仿宋"/>
                <w:sz w:val="24"/>
              </w:rPr>
              <w:t>研究生会名称</w:t>
            </w:r>
          </w:p>
        </w:tc>
        <w:tc>
          <w:tcPr>
            <w:tcW w:w="6317" w:type="dxa"/>
            <w:gridSpan w:val="3"/>
            <w:noWrap/>
            <w:vAlign w:val="center"/>
          </w:tcPr>
          <w:p w14:paraId="61A524B8">
            <w:pPr>
              <w:spacing w:line="460" w:lineRule="exact"/>
              <w:jc w:val="center"/>
              <w:rPr>
                <w:rFonts w:ascii="仿宋" w:hAnsi="仿宋" w:eastAsia="仿宋"/>
                <w:b/>
                <w:sz w:val="24"/>
              </w:rPr>
            </w:pPr>
          </w:p>
        </w:tc>
      </w:tr>
      <w:tr w14:paraId="510586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jc w:val="center"/>
        </w:trPr>
        <w:tc>
          <w:tcPr>
            <w:tcW w:w="2165" w:type="dxa"/>
            <w:gridSpan w:val="2"/>
            <w:noWrap/>
            <w:vAlign w:val="center"/>
          </w:tcPr>
          <w:p w14:paraId="38C216D9">
            <w:pPr>
              <w:spacing w:line="460" w:lineRule="exact"/>
              <w:jc w:val="center"/>
              <w:rPr>
                <w:rFonts w:ascii="仿宋" w:hAnsi="仿宋" w:eastAsia="仿宋"/>
                <w:sz w:val="24"/>
              </w:rPr>
            </w:pPr>
            <w:r>
              <w:rPr>
                <w:rFonts w:hint="eastAsia" w:ascii="仿宋" w:hAnsi="仿宋" w:eastAsia="仿宋"/>
                <w:sz w:val="24"/>
              </w:rPr>
              <w:t>活动</w:t>
            </w:r>
            <w:r>
              <w:rPr>
                <w:rFonts w:hint="eastAsia" w:ascii="仿宋" w:hAnsi="仿宋" w:eastAsia="仿宋"/>
                <w:sz w:val="24"/>
                <w:lang w:eastAsia="zh-CN"/>
              </w:rPr>
              <w:t>（</w:t>
            </w:r>
            <w:r>
              <w:rPr>
                <w:rFonts w:hint="eastAsia" w:ascii="仿宋" w:hAnsi="仿宋" w:eastAsia="仿宋"/>
                <w:sz w:val="24"/>
                <w:lang w:val="en-US" w:eastAsia="zh-CN"/>
              </w:rPr>
              <w:t>系列</w:t>
            </w:r>
            <w:r>
              <w:rPr>
                <w:rFonts w:hint="eastAsia" w:ascii="仿宋" w:hAnsi="仿宋" w:eastAsia="仿宋"/>
                <w:sz w:val="24"/>
                <w:lang w:eastAsia="zh-CN"/>
              </w:rPr>
              <w:t>）</w:t>
            </w:r>
            <w:r>
              <w:rPr>
                <w:rFonts w:hint="eastAsia" w:ascii="仿宋" w:hAnsi="仿宋" w:eastAsia="仿宋"/>
                <w:sz w:val="24"/>
              </w:rPr>
              <w:t>名称</w:t>
            </w:r>
          </w:p>
        </w:tc>
        <w:tc>
          <w:tcPr>
            <w:tcW w:w="6317" w:type="dxa"/>
            <w:gridSpan w:val="3"/>
            <w:noWrap/>
            <w:vAlign w:val="center"/>
          </w:tcPr>
          <w:p w14:paraId="366E2D1E">
            <w:pPr>
              <w:spacing w:line="460" w:lineRule="exact"/>
              <w:jc w:val="center"/>
              <w:rPr>
                <w:rFonts w:ascii="仿宋" w:hAnsi="仿宋" w:eastAsia="仿宋"/>
                <w:b/>
                <w:sz w:val="24"/>
              </w:rPr>
            </w:pPr>
          </w:p>
        </w:tc>
      </w:tr>
      <w:tr w14:paraId="3AA1BC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jc w:val="center"/>
        </w:trPr>
        <w:tc>
          <w:tcPr>
            <w:tcW w:w="2165" w:type="dxa"/>
            <w:gridSpan w:val="2"/>
            <w:noWrap/>
            <w:vAlign w:val="center"/>
          </w:tcPr>
          <w:p w14:paraId="642DF81B">
            <w:pPr>
              <w:spacing w:line="460" w:lineRule="exact"/>
              <w:jc w:val="center"/>
              <w:rPr>
                <w:rFonts w:hint="eastAsia" w:ascii="仿宋" w:hAnsi="仿宋" w:eastAsia="仿宋"/>
                <w:sz w:val="24"/>
                <w:lang w:eastAsia="zh-CN"/>
              </w:rPr>
            </w:pPr>
            <w:r>
              <w:rPr>
                <w:rFonts w:hint="eastAsia" w:ascii="仿宋" w:hAnsi="仿宋" w:eastAsia="仿宋"/>
                <w:sz w:val="24"/>
              </w:rPr>
              <w:t>活动时间</w:t>
            </w:r>
            <w:r>
              <w:rPr>
                <w:rFonts w:hint="eastAsia" w:ascii="仿宋" w:hAnsi="仿宋" w:eastAsia="仿宋"/>
                <w:sz w:val="24"/>
                <w:lang w:eastAsia="zh-CN"/>
              </w:rPr>
              <w:t>（</w:t>
            </w:r>
            <w:r>
              <w:rPr>
                <w:rFonts w:hint="eastAsia" w:ascii="仿宋" w:hAnsi="仿宋" w:eastAsia="仿宋"/>
                <w:sz w:val="24"/>
                <w:lang w:val="en-US" w:eastAsia="zh-CN"/>
              </w:rPr>
              <w:t>段</w:t>
            </w:r>
            <w:r>
              <w:rPr>
                <w:rFonts w:hint="eastAsia" w:ascii="仿宋" w:hAnsi="仿宋" w:eastAsia="仿宋"/>
                <w:sz w:val="24"/>
                <w:lang w:eastAsia="zh-CN"/>
              </w:rPr>
              <w:t>）</w:t>
            </w:r>
          </w:p>
        </w:tc>
        <w:tc>
          <w:tcPr>
            <w:tcW w:w="1975" w:type="dxa"/>
            <w:noWrap/>
            <w:vAlign w:val="center"/>
          </w:tcPr>
          <w:p w14:paraId="505721B7">
            <w:pPr>
              <w:spacing w:line="460" w:lineRule="exact"/>
              <w:jc w:val="center"/>
              <w:rPr>
                <w:rFonts w:ascii="仿宋" w:hAnsi="仿宋" w:eastAsia="仿宋"/>
                <w:b/>
                <w:sz w:val="24"/>
              </w:rPr>
            </w:pPr>
          </w:p>
        </w:tc>
        <w:tc>
          <w:tcPr>
            <w:tcW w:w="2160" w:type="dxa"/>
            <w:noWrap/>
            <w:vAlign w:val="center"/>
          </w:tcPr>
          <w:p w14:paraId="1DBA812C">
            <w:pPr>
              <w:spacing w:line="460" w:lineRule="exact"/>
              <w:jc w:val="center"/>
              <w:rPr>
                <w:rFonts w:ascii="仿宋" w:hAnsi="仿宋" w:eastAsia="仿宋"/>
                <w:b/>
                <w:sz w:val="24"/>
              </w:rPr>
            </w:pPr>
            <w:r>
              <w:rPr>
                <w:rFonts w:hint="eastAsia" w:ascii="仿宋" w:hAnsi="仿宋" w:eastAsia="仿宋"/>
                <w:sz w:val="24"/>
              </w:rPr>
              <w:t>活动</w:t>
            </w:r>
            <w:r>
              <w:rPr>
                <w:rFonts w:hint="eastAsia" w:ascii="仿宋" w:hAnsi="仿宋" w:eastAsia="仿宋"/>
                <w:sz w:val="24"/>
                <w:lang w:val="en-US" w:eastAsia="zh-CN"/>
              </w:rPr>
              <w:t>累计</w:t>
            </w:r>
            <w:r>
              <w:rPr>
                <w:rFonts w:hint="eastAsia" w:ascii="仿宋" w:hAnsi="仿宋" w:eastAsia="仿宋"/>
                <w:sz w:val="24"/>
              </w:rPr>
              <w:t>参与人数</w:t>
            </w:r>
          </w:p>
        </w:tc>
        <w:tc>
          <w:tcPr>
            <w:tcW w:w="2182" w:type="dxa"/>
            <w:noWrap/>
            <w:vAlign w:val="center"/>
          </w:tcPr>
          <w:p w14:paraId="7A3F4362">
            <w:pPr>
              <w:spacing w:line="460" w:lineRule="exact"/>
              <w:jc w:val="center"/>
              <w:rPr>
                <w:rFonts w:ascii="仿宋" w:hAnsi="仿宋" w:eastAsia="仿宋"/>
                <w:b/>
                <w:sz w:val="24"/>
              </w:rPr>
            </w:pPr>
          </w:p>
        </w:tc>
      </w:tr>
      <w:tr w14:paraId="73A562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2165" w:type="dxa"/>
            <w:gridSpan w:val="2"/>
            <w:noWrap/>
            <w:vAlign w:val="center"/>
          </w:tcPr>
          <w:p w14:paraId="2EA62E81">
            <w:pPr>
              <w:spacing w:line="460" w:lineRule="exact"/>
              <w:jc w:val="center"/>
              <w:rPr>
                <w:rFonts w:ascii="仿宋" w:hAnsi="仿宋" w:eastAsia="仿宋"/>
                <w:sz w:val="24"/>
              </w:rPr>
            </w:pPr>
            <w:r>
              <w:rPr>
                <w:rFonts w:hint="eastAsia" w:ascii="仿宋" w:hAnsi="仿宋" w:eastAsia="仿宋"/>
                <w:sz w:val="24"/>
              </w:rPr>
              <w:t>活动举办部门</w:t>
            </w:r>
          </w:p>
        </w:tc>
        <w:tc>
          <w:tcPr>
            <w:tcW w:w="1975" w:type="dxa"/>
            <w:noWrap/>
            <w:vAlign w:val="center"/>
          </w:tcPr>
          <w:p w14:paraId="7067EBEC">
            <w:pPr>
              <w:spacing w:line="460" w:lineRule="exact"/>
              <w:jc w:val="center"/>
              <w:rPr>
                <w:rFonts w:ascii="仿宋" w:hAnsi="仿宋" w:eastAsia="仿宋"/>
                <w:b/>
                <w:sz w:val="24"/>
              </w:rPr>
            </w:pPr>
          </w:p>
        </w:tc>
        <w:tc>
          <w:tcPr>
            <w:tcW w:w="2160" w:type="dxa"/>
            <w:noWrap/>
            <w:vAlign w:val="center"/>
          </w:tcPr>
          <w:p w14:paraId="00B87E64">
            <w:pPr>
              <w:spacing w:line="460" w:lineRule="exact"/>
              <w:jc w:val="center"/>
              <w:rPr>
                <w:rFonts w:ascii="仿宋" w:hAnsi="仿宋" w:eastAsia="仿宋"/>
                <w:b/>
                <w:sz w:val="24"/>
              </w:rPr>
            </w:pPr>
            <w:r>
              <w:rPr>
                <w:rFonts w:hint="eastAsia" w:ascii="仿宋" w:hAnsi="仿宋" w:eastAsia="仿宋"/>
                <w:sz w:val="24"/>
              </w:rPr>
              <w:t>活动地点</w:t>
            </w:r>
          </w:p>
        </w:tc>
        <w:tc>
          <w:tcPr>
            <w:tcW w:w="2182" w:type="dxa"/>
            <w:noWrap/>
            <w:vAlign w:val="center"/>
          </w:tcPr>
          <w:p w14:paraId="481D2E83">
            <w:pPr>
              <w:spacing w:line="460" w:lineRule="exact"/>
              <w:jc w:val="center"/>
              <w:rPr>
                <w:rFonts w:ascii="仿宋" w:hAnsi="仿宋" w:eastAsia="仿宋"/>
                <w:b/>
                <w:sz w:val="24"/>
              </w:rPr>
            </w:pPr>
          </w:p>
        </w:tc>
      </w:tr>
      <w:tr w14:paraId="3B5B94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70" w:hRule="atLeast"/>
          <w:jc w:val="center"/>
        </w:trPr>
        <w:tc>
          <w:tcPr>
            <w:tcW w:w="902" w:type="dxa"/>
            <w:noWrap/>
            <w:textDirection w:val="tbRlV"/>
            <w:vAlign w:val="center"/>
          </w:tcPr>
          <w:p w14:paraId="27019212">
            <w:pPr>
              <w:spacing w:line="460" w:lineRule="exact"/>
              <w:ind w:left="113" w:leftChars="54" w:right="113" w:firstLine="120" w:firstLineChars="50"/>
              <w:jc w:val="center"/>
              <w:rPr>
                <w:rFonts w:ascii="仿宋_GB2312" w:hAnsi="仿宋" w:eastAsia="仿宋_GB2312"/>
                <w:sz w:val="24"/>
              </w:rPr>
            </w:pPr>
            <w:r>
              <w:rPr>
                <w:rFonts w:hint="eastAsia" w:ascii="仿宋_GB2312" w:hAnsi="仿宋" w:eastAsia="仿宋_GB2312"/>
                <w:sz w:val="24"/>
                <w:lang w:val="en-US" w:eastAsia="zh-CN"/>
              </w:rPr>
              <w:t>组织建设和思想引领</w:t>
            </w:r>
            <w:r>
              <w:rPr>
                <w:rFonts w:hint="eastAsia" w:ascii="仿宋_GB2312" w:hAnsi="仿宋" w:eastAsia="仿宋_GB2312"/>
                <w:sz w:val="24"/>
              </w:rPr>
              <w:t>活动开展情况</w:t>
            </w:r>
          </w:p>
        </w:tc>
        <w:tc>
          <w:tcPr>
            <w:tcW w:w="7580" w:type="dxa"/>
            <w:gridSpan w:val="4"/>
            <w:noWrap/>
            <w:vAlign w:val="center"/>
          </w:tcPr>
          <w:p w14:paraId="77F19109">
            <w:pPr>
              <w:spacing w:line="460" w:lineRule="exact"/>
              <w:jc w:val="center"/>
              <w:rPr>
                <w:rFonts w:ascii="仿宋_GB2312" w:hAnsi="仿宋" w:eastAsia="仿宋_GB2312"/>
                <w:b/>
                <w:sz w:val="24"/>
              </w:rPr>
            </w:pPr>
          </w:p>
          <w:p w14:paraId="23FFF0CF">
            <w:pPr>
              <w:spacing w:line="460" w:lineRule="exact"/>
              <w:jc w:val="center"/>
              <w:rPr>
                <w:rFonts w:ascii="仿宋_GB2312" w:hAnsi="仿宋" w:eastAsia="仿宋_GB2312"/>
                <w:b/>
                <w:sz w:val="24"/>
              </w:rPr>
            </w:pPr>
          </w:p>
          <w:p w14:paraId="5B3A0A62">
            <w:pPr>
              <w:spacing w:line="460" w:lineRule="exact"/>
              <w:rPr>
                <w:rFonts w:ascii="仿宋_GB2312" w:hAnsi="仿宋" w:eastAsia="仿宋_GB2312"/>
                <w:b/>
                <w:sz w:val="24"/>
              </w:rPr>
            </w:pPr>
          </w:p>
          <w:p w14:paraId="3681E405">
            <w:pPr>
              <w:spacing w:line="460" w:lineRule="exact"/>
              <w:rPr>
                <w:rFonts w:ascii="仿宋_GB2312" w:hAnsi="仿宋" w:eastAsia="仿宋_GB2312"/>
                <w:b/>
                <w:sz w:val="24"/>
              </w:rPr>
            </w:pPr>
          </w:p>
          <w:p w14:paraId="7D824745">
            <w:pPr>
              <w:spacing w:line="460" w:lineRule="exact"/>
              <w:ind w:firstLine="4200" w:firstLineChars="1750"/>
              <w:rPr>
                <w:rFonts w:ascii="仿宋" w:hAnsi="仿宋" w:eastAsia="仿宋"/>
                <w:sz w:val="24"/>
              </w:rPr>
            </w:pPr>
            <w:r>
              <w:rPr>
                <w:rFonts w:hint="eastAsia" w:ascii="仿宋" w:hAnsi="仿宋" w:eastAsia="仿宋"/>
                <w:sz w:val="24"/>
              </w:rPr>
              <w:t>（签章）</w:t>
            </w:r>
          </w:p>
          <w:p w14:paraId="6880DF67">
            <w:pPr>
              <w:spacing w:line="460" w:lineRule="exact"/>
              <w:ind w:firstLine="3600" w:firstLineChars="1500"/>
              <w:jc w:val="center"/>
              <w:rPr>
                <w:rFonts w:ascii="仿宋_GB2312" w:hAnsi="仿宋" w:eastAsia="仿宋_GB2312"/>
                <w:sz w:val="24"/>
              </w:rPr>
            </w:pPr>
            <w:r>
              <w:rPr>
                <w:rFonts w:hint="eastAsia" w:ascii="仿宋" w:hAnsi="仿宋" w:eastAsia="仿宋"/>
                <w:sz w:val="24"/>
              </w:rPr>
              <w:t>年  月  日</w:t>
            </w:r>
          </w:p>
        </w:tc>
      </w:tr>
      <w:tr w14:paraId="671C12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19" w:hRule="atLeast"/>
          <w:jc w:val="center"/>
        </w:trPr>
        <w:tc>
          <w:tcPr>
            <w:tcW w:w="902" w:type="dxa"/>
            <w:noWrap/>
            <w:textDirection w:val="tbRlV"/>
            <w:vAlign w:val="center"/>
          </w:tcPr>
          <w:p w14:paraId="0CAF03BA">
            <w:pPr>
              <w:spacing w:line="460" w:lineRule="exact"/>
              <w:ind w:left="113" w:leftChars="54" w:right="113" w:firstLine="120" w:firstLineChars="50"/>
              <w:jc w:val="center"/>
              <w:rPr>
                <w:rFonts w:ascii="仿宋_GB2312" w:hAnsi="仿宋" w:eastAsia="仿宋_GB2312"/>
                <w:sz w:val="24"/>
              </w:rPr>
            </w:pPr>
            <w:r>
              <w:rPr>
                <w:rFonts w:hint="eastAsia" w:ascii="仿宋_GB2312" w:hAnsi="仿宋" w:eastAsia="仿宋_GB2312"/>
                <w:sz w:val="24"/>
              </w:rPr>
              <w:t>学院意见</w:t>
            </w:r>
          </w:p>
        </w:tc>
        <w:tc>
          <w:tcPr>
            <w:tcW w:w="7580" w:type="dxa"/>
            <w:gridSpan w:val="4"/>
            <w:noWrap/>
            <w:vAlign w:val="center"/>
          </w:tcPr>
          <w:p w14:paraId="5072E835">
            <w:pPr>
              <w:spacing w:line="460" w:lineRule="exact"/>
              <w:rPr>
                <w:rFonts w:ascii="仿宋_GB2312" w:hAnsi="仿宋" w:eastAsia="仿宋_GB2312"/>
                <w:b/>
                <w:sz w:val="24"/>
              </w:rPr>
            </w:pPr>
          </w:p>
          <w:p w14:paraId="52DEA4E3">
            <w:pPr>
              <w:spacing w:line="460" w:lineRule="exact"/>
              <w:jc w:val="center"/>
              <w:rPr>
                <w:rFonts w:ascii="仿宋_GB2312" w:hAnsi="仿宋" w:eastAsia="仿宋_GB2312"/>
                <w:b/>
                <w:sz w:val="24"/>
              </w:rPr>
            </w:pPr>
          </w:p>
          <w:p w14:paraId="09E26F7D">
            <w:pPr>
              <w:spacing w:line="460" w:lineRule="exact"/>
              <w:ind w:firstLine="4200" w:firstLineChars="1750"/>
              <w:rPr>
                <w:rFonts w:ascii="仿宋" w:hAnsi="仿宋" w:eastAsia="仿宋"/>
                <w:sz w:val="24"/>
              </w:rPr>
            </w:pPr>
            <w:r>
              <w:rPr>
                <w:rFonts w:hint="eastAsia" w:ascii="仿宋" w:hAnsi="仿宋" w:eastAsia="仿宋"/>
                <w:sz w:val="24"/>
              </w:rPr>
              <w:t>（签章）</w:t>
            </w:r>
          </w:p>
          <w:p w14:paraId="0E147B31">
            <w:pPr>
              <w:spacing w:line="460" w:lineRule="exact"/>
              <w:ind w:firstLine="3600" w:firstLineChars="1500"/>
              <w:jc w:val="center"/>
              <w:rPr>
                <w:rFonts w:ascii="仿宋_GB2312" w:hAnsi="仿宋" w:eastAsia="仿宋_GB2312"/>
                <w:b/>
                <w:sz w:val="24"/>
              </w:rPr>
            </w:pPr>
            <w:r>
              <w:rPr>
                <w:rFonts w:hint="eastAsia" w:ascii="仿宋" w:hAnsi="仿宋" w:eastAsia="仿宋"/>
                <w:sz w:val="24"/>
              </w:rPr>
              <w:t>年  月  日</w:t>
            </w:r>
          </w:p>
        </w:tc>
      </w:tr>
      <w:tr w14:paraId="471383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64" w:hRule="atLeast"/>
          <w:jc w:val="center"/>
        </w:trPr>
        <w:tc>
          <w:tcPr>
            <w:tcW w:w="902" w:type="dxa"/>
            <w:noWrap/>
            <w:textDirection w:val="tbRlV"/>
            <w:vAlign w:val="center"/>
          </w:tcPr>
          <w:p w14:paraId="4BA48215">
            <w:pPr>
              <w:spacing w:line="460" w:lineRule="exact"/>
              <w:ind w:right="113"/>
              <w:jc w:val="center"/>
              <w:rPr>
                <w:rFonts w:ascii="仿宋_GB2312" w:hAnsi="仿宋" w:eastAsia="仿宋_GB2312"/>
                <w:sz w:val="24"/>
              </w:rPr>
            </w:pPr>
            <w:r>
              <w:rPr>
                <w:rFonts w:hint="eastAsia" w:ascii="仿宋_GB2312" w:hAnsi="仿宋" w:eastAsia="仿宋_GB2312"/>
                <w:sz w:val="24"/>
              </w:rPr>
              <w:t>党委研工部意见</w:t>
            </w:r>
          </w:p>
        </w:tc>
        <w:tc>
          <w:tcPr>
            <w:tcW w:w="7580" w:type="dxa"/>
            <w:gridSpan w:val="4"/>
            <w:noWrap/>
            <w:vAlign w:val="center"/>
          </w:tcPr>
          <w:p w14:paraId="64649D45">
            <w:pPr>
              <w:spacing w:line="460" w:lineRule="exact"/>
              <w:rPr>
                <w:rFonts w:ascii="仿宋_GB2312" w:hAnsi="仿宋" w:eastAsia="仿宋_GB2312"/>
                <w:sz w:val="24"/>
              </w:rPr>
            </w:pPr>
          </w:p>
          <w:p w14:paraId="3405F7DE">
            <w:pPr>
              <w:spacing w:line="460" w:lineRule="exact"/>
              <w:ind w:right="480" w:firstLine="4200" w:firstLineChars="1750"/>
              <w:rPr>
                <w:rFonts w:ascii="仿宋" w:hAnsi="仿宋" w:eastAsia="仿宋"/>
                <w:sz w:val="24"/>
              </w:rPr>
            </w:pPr>
            <w:r>
              <w:rPr>
                <w:rFonts w:hint="eastAsia" w:ascii="仿宋" w:hAnsi="仿宋" w:eastAsia="仿宋"/>
                <w:sz w:val="24"/>
              </w:rPr>
              <w:t>（签章）</w:t>
            </w:r>
          </w:p>
          <w:p w14:paraId="3AC40D62">
            <w:pPr>
              <w:spacing w:line="460" w:lineRule="exact"/>
              <w:ind w:right="480" w:firstLine="3600" w:firstLineChars="1500"/>
              <w:jc w:val="center"/>
              <w:rPr>
                <w:rFonts w:ascii="仿宋_GB2312" w:hAnsi="仿宋" w:eastAsia="仿宋_GB2312"/>
                <w:b/>
                <w:sz w:val="24"/>
              </w:rPr>
            </w:pPr>
            <w:r>
              <w:rPr>
                <w:rFonts w:hint="eastAsia" w:ascii="仿宋" w:hAnsi="仿宋" w:eastAsia="仿宋"/>
                <w:sz w:val="24"/>
              </w:rPr>
              <w:t>年  月  日</w:t>
            </w:r>
          </w:p>
        </w:tc>
      </w:tr>
      <w:tr w14:paraId="0C9263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12" w:hRule="atLeast"/>
          <w:jc w:val="center"/>
        </w:trPr>
        <w:tc>
          <w:tcPr>
            <w:tcW w:w="902" w:type="dxa"/>
            <w:noWrap/>
            <w:textDirection w:val="tbRlV"/>
            <w:vAlign w:val="center"/>
          </w:tcPr>
          <w:p w14:paraId="7F290884">
            <w:pPr>
              <w:spacing w:line="460" w:lineRule="exact"/>
              <w:ind w:left="0" w:right="0"/>
              <w:jc w:val="center"/>
              <w:rPr>
                <w:rFonts w:ascii="仿宋_GB2312" w:hAnsi="仿宋" w:eastAsia="仿宋_GB2312"/>
                <w:sz w:val="24"/>
              </w:rPr>
            </w:pPr>
            <w:r>
              <w:rPr>
                <w:rFonts w:hint="eastAsia" w:ascii="仿宋_GB2312" w:hAnsi="仿宋" w:eastAsia="仿宋_GB2312"/>
                <w:sz w:val="24"/>
              </w:rPr>
              <w:t>备注</w:t>
            </w:r>
          </w:p>
        </w:tc>
        <w:tc>
          <w:tcPr>
            <w:tcW w:w="7580" w:type="dxa"/>
            <w:gridSpan w:val="4"/>
            <w:noWrap/>
            <w:vAlign w:val="center"/>
          </w:tcPr>
          <w:p w14:paraId="0CD857A4">
            <w:pPr>
              <w:spacing w:line="460" w:lineRule="exact"/>
              <w:jc w:val="center"/>
              <w:rPr>
                <w:rFonts w:ascii="仿宋_GB2312" w:hAnsi="仿宋" w:eastAsia="仿宋_GB2312"/>
                <w:b/>
                <w:sz w:val="24"/>
              </w:rPr>
            </w:pPr>
          </w:p>
        </w:tc>
      </w:tr>
    </w:tbl>
    <w:p w14:paraId="714E668E">
      <w:pPr>
        <w:spacing w:line="460" w:lineRule="exact"/>
      </w:pPr>
      <w:r>
        <w:rPr>
          <w:rFonts w:hint="eastAsia" w:ascii="仿宋_GB2312" w:hAnsi="仿宋" w:eastAsia="仿宋_GB2312"/>
          <w:szCs w:val="21"/>
        </w:rPr>
        <w:t>说明：</w:t>
      </w:r>
      <w:r>
        <w:rPr>
          <w:rFonts w:ascii="Times New Roman Regular" w:hAnsi="Times New Roman Regular" w:eastAsia="仿宋_GB2312" w:cs="Times New Roman Regular"/>
          <w:szCs w:val="21"/>
        </w:rPr>
        <w:t>1</w:t>
      </w:r>
      <w:r>
        <w:rPr>
          <w:rFonts w:hint="eastAsia" w:ascii="仿宋_GB2312" w:hAnsi="仿宋" w:eastAsia="仿宋_GB2312"/>
          <w:szCs w:val="21"/>
        </w:rPr>
        <w:t>.</w:t>
      </w:r>
      <w:r>
        <w:rPr>
          <w:rFonts w:hint="eastAsia" w:ascii="仿宋_GB2312" w:hAnsi="仿宋" w:eastAsia="仿宋_GB2312"/>
          <w:color w:val="000000"/>
          <w:szCs w:val="21"/>
        </w:rPr>
        <w:t>此表同其他申报材料一并上报</w:t>
      </w:r>
      <w:r>
        <w:rPr>
          <w:rFonts w:hint="eastAsia" w:ascii="仿宋_GB2312" w:hAnsi="仿宋" w:eastAsia="仿宋_GB2312"/>
          <w:szCs w:val="21"/>
        </w:rPr>
        <w:t>。</w:t>
      </w:r>
      <w:r>
        <w:rPr>
          <w:rFonts w:ascii="Times New Roman Regular" w:hAnsi="Times New Roman Regular" w:eastAsia="仿宋_GB2312" w:cs="Times New Roman Regular"/>
          <w:szCs w:val="21"/>
        </w:rPr>
        <w:t>2</w:t>
      </w:r>
      <w:r>
        <w:rPr>
          <w:rFonts w:hint="eastAsia" w:ascii="仿宋_GB2312" w:hAnsi="仿宋" w:eastAsia="仿宋_GB2312"/>
          <w:szCs w:val="21"/>
        </w:rPr>
        <w:t>.此表可附页。</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Times New Roman Regular">
    <w:altName w:val="Times New Roman"/>
    <w:panose1 w:val="02020503050405090304"/>
    <w:charset w:val="00"/>
    <w:family w:val="auto"/>
    <w:pitch w:val="default"/>
    <w:sig w:usb0="00000000" w:usb1="00000000" w:usb2="00000001" w:usb3="00000000" w:csb0="400001BF" w:csb1="DFF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Y0ZDhmMWUwNmI4YzM3ZTI4ZDU2YjZlNWY0OTYwOGEifQ=="/>
  </w:docVars>
  <w:rsids>
    <w:rsidRoot w:val="6FDF3817"/>
    <w:rsid w:val="00015261"/>
    <w:rsid w:val="000F275D"/>
    <w:rsid w:val="000F74E3"/>
    <w:rsid w:val="001E5EF6"/>
    <w:rsid w:val="002122B8"/>
    <w:rsid w:val="00253F42"/>
    <w:rsid w:val="003208A7"/>
    <w:rsid w:val="00382949"/>
    <w:rsid w:val="004B224B"/>
    <w:rsid w:val="005116E5"/>
    <w:rsid w:val="007B3F6B"/>
    <w:rsid w:val="008554B7"/>
    <w:rsid w:val="00F34D58"/>
    <w:rsid w:val="01037EB1"/>
    <w:rsid w:val="017D0BDA"/>
    <w:rsid w:val="0344779B"/>
    <w:rsid w:val="03AE18ED"/>
    <w:rsid w:val="04912ACD"/>
    <w:rsid w:val="05C43DE8"/>
    <w:rsid w:val="05CE4162"/>
    <w:rsid w:val="06750D3C"/>
    <w:rsid w:val="07C92723"/>
    <w:rsid w:val="07DE37BA"/>
    <w:rsid w:val="082C4FE6"/>
    <w:rsid w:val="082F33D3"/>
    <w:rsid w:val="08440163"/>
    <w:rsid w:val="08512156"/>
    <w:rsid w:val="08FC70AE"/>
    <w:rsid w:val="09D07C2D"/>
    <w:rsid w:val="09D80FB3"/>
    <w:rsid w:val="0AC05B6E"/>
    <w:rsid w:val="0B684CBE"/>
    <w:rsid w:val="0B852AA5"/>
    <w:rsid w:val="0B942BEB"/>
    <w:rsid w:val="0D772ADC"/>
    <w:rsid w:val="0DD813B8"/>
    <w:rsid w:val="0E5970F0"/>
    <w:rsid w:val="0F411B91"/>
    <w:rsid w:val="0FD0200A"/>
    <w:rsid w:val="107E2558"/>
    <w:rsid w:val="10956AD9"/>
    <w:rsid w:val="10FD5E1F"/>
    <w:rsid w:val="11072FE1"/>
    <w:rsid w:val="114809B7"/>
    <w:rsid w:val="11720DC3"/>
    <w:rsid w:val="118258D5"/>
    <w:rsid w:val="11F2128F"/>
    <w:rsid w:val="123E119B"/>
    <w:rsid w:val="128D5551"/>
    <w:rsid w:val="12D621E0"/>
    <w:rsid w:val="140D01ED"/>
    <w:rsid w:val="1484432C"/>
    <w:rsid w:val="161E4CE3"/>
    <w:rsid w:val="1625195F"/>
    <w:rsid w:val="16330F6D"/>
    <w:rsid w:val="1635775C"/>
    <w:rsid w:val="16864D40"/>
    <w:rsid w:val="16934FF6"/>
    <w:rsid w:val="16BC1C2B"/>
    <w:rsid w:val="16FA243B"/>
    <w:rsid w:val="170D14EB"/>
    <w:rsid w:val="17585C55"/>
    <w:rsid w:val="17E96B48"/>
    <w:rsid w:val="183540E4"/>
    <w:rsid w:val="19042CFD"/>
    <w:rsid w:val="19B13E41"/>
    <w:rsid w:val="1A0C7018"/>
    <w:rsid w:val="1A202612"/>
    <w:rsid w:val="1A6F6A45"/>
    <w:rsid w:val="1A743A6E"/>
    <w:rsid w:val="1AA02169"/>
    <w:rsid w:val="1B574C8D"/>
    <w:rsid w:val="1B9840F5"/>
    <w:rsid w:val="1BF90DF9"/>
    <w:rsid w:val="1C7E18DF"/>
    <w:rsid w:val="1CA648EA"/>
    <w:rsid w:val="1D643BA1"/>
    <w:rsid w:val="1D7C49F2"/>
    <w:rsid w:val="1DD0558B"/>
    <w:rsid w:val="1E0853AE"/>
    <w:rsid w:val="1E3539CD"/>
    <w:rsid w:val="1E650D77"/>
    <w:rsid w:val="1EC51445"/>
    <w:rsid w:val="1F7055A8"/>
    <w:rsid w:val="1F85058C"/>
    <w:rsid w:val="1FA24681"/>
    <w:rsid w:val="1FA57682"/>
    <w:rsid w:val="20672C08"/>
    <w:rsid w:val="20840234"/>
    <w:rsid w:val="20A9533C"/>
    <w:rsid w:val="213E4057"/>
    <w:rsid w:val="21F90642"/>
    <w:rsid w:val="22317F31"/>
    <w:rsid w:val="24321C5A"/>
    <w:rsid w:val="24827B09"/>
    <w:rsid w:val="25114218"/>
    <w:rsid w:val="25836E2D"/>
    <w:rsid w:val="25AD5EBB"/>
    <w:rsid w:val="267C0E48"/>
    <w:rsid w:val="29347265"/>
    <w:rsid w:val="29783185"/>
    <w:rsid w:val="2B4D4A07"/>
    <w:rsid w:val="2B531D70"/>
    <w:rsid w:val="2C76552A"/>
    <w:rsid w:val="2C8D0E97"/>
    <w:rsid w:val="2CC01D1B"/>
    <w:rsid w:val="2CF34AE9"/>
    <w:rsid w:val="2D7B7CF2"/>
    <w:rsid w:val="2DB809AD"/>
    <w:rsid w:val="2E4B71FD"/>
    <w:rsid w:val="2EA17E7F"/>
    <w:rsid w:val="30907B01"/>
    <w:rsid w:val="30C0648F"/>
    <w:rsid w:val="312433E8"/>
    <w:rsid w:val="31B27F88"/>
    <w:rsid w:val="32990C1B"/>
    <w:rsid w:val="32EF2ACC"/>
    <w:rsid w:val="332D64F5"/>
    <w:rsid w:val="33825A06"/>
    <w:rsid w:val="338F63D2"/>
    <w:rsid w:val="33C25BEF"/>
    <w:rsid w:val="33DF6B01"/>
    <w:rsid w:val="33EC69CB"/>
    <w:rsid w:val="344761F1"/>
    <w:rsid w:val="347D06ED"/>
    <w:rsid w:val="349F09A3"/>
    <w:rsid w:val="34AE453F"/>
    <w:rsid w:val="355B1C25"/>
    <w:rsid w:val="356F6C13"/>
    <w:rsid w:val="35AB632C"/>
    <w:rsid w:val="36FA1206"/>
    <w:rsid w:val="375F6338"/>
    <w:rsid w:val="39133C64"/>
    <w:rsid w:val="391F0E3F"/>
    <w:rsid w:val="3AF90A3D"/>
    <w:rsid w:val="3B5333AE"/>
    <w:rsid w:val="3CD12634"/>
    <w:rsid w:val="3D855740"/>
    <w:rsid w:val="3DD565A5"/>
    <w:rsid w:val="3E231896"/>
    <w:rsid w:val="3E483EA8"/>
    <w:rsid w:val="3E8664C8"/>
    <w:rsid w:val="403A5790"/>
    <w:rsid w:val="40773C64"/>
    <w:rsid w:val="41194CD9"/>
    <w:rsid w:val="41230F86"/>
    <w:rsid w:val="4123619A"/>
    <w:rsid w:val="4388511B"/>
    <w:rsid w:val="44DE3899"/>
    <w:rsid w:val="44EA7F23"/>
    <w:rsid w:val="45546B7B"/>
    <w:rsid w:val="46F6765E"/>
    <w:rsid w:val="47254F1F"/>
    <w:rsid w:val="47EA130F"/>
    <w:rsid w:val="481103B3"/>
    <w:rsid w:val="483C1B93"/>
    <w:rsid w:val="48726E81"/>
    <w:rsid w:val="48910085"/>
    <w:rsid w:val="49145EB7"/>
    <w:rsid w:val="4922640E"/>
    <w:rsid w:val="49714B62"/>
    <w:rsid w:val="49CB6A07"/>
    <w:rsid w:val="4A696FA8"/>
    <w:rsid w:val="4B1367E8"/>
    <w:rsid w:val="4B381A42"/>
    <w:rsid w:val="4BC13445"/>
    <w:rsid w:val="4BD42F98"/>
    <w:rsid w:val="4C1E027E"/>
    <w:rsid w:val="4D4302C1"/>
    <w:rsid w:val="4D7056BF"/>
    <w:rsid w:val="4DB34E2F"/>
    <w:rsid w:val="4DC519F1"/>
    <w:rsid w:val="4E735800"/>
    <w:rsid w:val="4F3F4BCC"/>
    <w:rsid w:val="4FE26D16"/>
    <w:rsid w:val="500870D0"/>
    <w:rsid w:val="50260E29"/>
    <w:rsid w:val="50A37C25"/>
    <w:rsid w:val="51BC5B73"/>
    <w:rsid w:val="52002396"/>
    <w:rsid w:val="52A61569"/>
    <w:rsid w:val="52C120A1"/>
    <w:rsid w:val="53143F98"/>
    <w:rsid w:val="537F758A"/>
    <w:rsid w:val="54444A33"/>
    <w:rsid w:val="54642723"/>
    <w:rsid w:val="54DF55AA"/>
    <w:rsid w:val="55503AE5"/>
    <w:rsid w:val="55A26ABE"/>
    <w:rsid w:val="56002B3C"/>
    <w:rsid w:val="56062A7E"/>
    <w:rsid w:val="56D774C6"/>
    <w:rsid w:val="577B3EE6"/>
    <w:rsid w:val="57C33EC0"/>
    <w:rsid w:val="582053BF"/>
    <w:rsid w:val="58352B69"/>
    <w:rsid w:val="5852366F"/>
    <w:rsid w:val="58BF06FB"/>
    <w:rsid w:val="59B14918"/>
    <w:rsid w:val="59E70056"/>
    <w:rsid w:val="5A152FC7"/>
    <w:rsid w:val="5A4D1EB0"/>
    <w:rsid w:val="5A936D98"/>
    <w:rsid w:val="5B8A71CF"/>
    <w:rsid w:val="5C4C1ACB"/>
    <w:rsid w:val="5CCC18B7"/>
    <w:rsid w:val="5CEE5F5B"/>
    <w:rsid w:val="5D014374"/>
    <w:rsid w:val="5D090257"/>
    <w:rsid w:val="5D157FCF"/>
    <w:rsid w:val="5DD64CC6"/>
    <w:rsid w:val="5E76712F"/>
    <w:rsid w:val="5EF7011C"/>
    <w:rsid w:val="603E7F3B"/>
    <w:rsid w:val="604477A1"/>
    <w:rsid w:val="60614701"/>
    <w:rsid w:val="60705EF6"/>
    <w:rsid w:val="608D17F9"/>
    <w:rsid w:val="6151012A"/>
    <w:rsid w:val="61F91A79"/>
    <w:rsid w:val="62423840"/>
    <w:rsid w:val="62DB1806"/>
    <w:rsid w:val="633965A0"/>
    <w:rsid w:val="63557126"/>
    <w:rsid w:val="650A312E"/>
    <w:rsid w:val="6524061B"/>
    <w:rsid w:val="65C32908"/>
    <w:rsid w:val="660B223E"/>
    <w:rsid w:val="66D50EFD"/>
    <w:rsid w:val="67420F31"/>
    <w:rsid w:val="676C3E8F"/>
    <w:rsid w:val="67DA012F"/>
    <w:rsid w:val="681843FA"/>
    <w:rsid w:val="68606BC4"/>
    <w:rsid w:val="68F46AE4"/>
    <w:rsid w:val="69570CF6"/>
    <w:rsid w:val="69622F46"/>
    <w:rsid w:val="6A321A61"/>
    <w:rsid w:val="6A3636BA"/>
    <w:rsid w:val="6A573F3C"/>
    <w:rsid w:val="6AED1528"/>
    <w:rsid w:val="6C23709A"/>
    <w:rsid w:val="6D667951"/>
    <w:rsid w:val="6D715502"/>
    <w:rsid w:val="6DE56C55"/>
    <w:rsid w:val="6E407BC1"/>
    <w:rsid w:val="6E6E16A3"/>
    <w:rsid w:val="6E733EB8"/>
    <w:rsid w:val="6E8421A4"/>
    <w:rsid w:val="6E860304"/>
    <w:rsid w:val="6ED66529"/>
    <w:rsid w:val="6EF03395"/>
    <w:rsid w:val="6F235519"/>
    <w:rsid w:val="6F2E0203"/>
    <w:rsid w:val="6F45025B"/>
    <w:rsid w:val="6F7F4882"/>
    <w:rsid w:val="6F8D6E36"/>
    <w:rsid w:val="6F994624"/>
    <w:rsid w:val="6FC61747"/>
    <w:rsid w:val="6FDF3817"/>
    <w:rsid w:val="70705A2D"/>
    <w:rsid w:val="707D59EA"/>
    <w:rsid w:val="722F5444"/>
    <w:rsid w:val="73993BF6"/>
    <w:rsid w:val="748B2F54"/>
    <w:rsid w:val="7503602B"/>
    <w:rsid w:val="751267EC"/>
    <w:rsid w:val="75B34C52"/>
    <w:rsid w:val="75D237F5"/>
    <w:rsid w:val="771F5D2D"/>
    <w:rsid w:val="77654CA0"/>
    <w:rsid w:val="777F3960"/>
    <w:rsid w:val="77E5562B"/>
    <w:rsid w:val="77FB1D8D"/>
    <w:rsid w:val="788A155B"/>
    <w:rsid w:val="78B70A81"/>
    <w:rsid w:val="78FB11C9"/>
    <w:rsid w:val="79201A79"/>
    <w:rsid w:val="7924548F"/>
    <w:rsid w:val="792C41BB"/>
    <w:rsid w:val="797FA84F"/>
    <w:rsid w:val="79BF6786"/>
    <w:rsid w:val="79E92647"/>
    <w:rsid w:val="7A3FEE35"/>
    <w:rsid w:val="7A840E7F"/>
    <w:rsid w:val="7A882018"/>
    <w:rsid w:val="7BF9D1BE"/>
    <w:rsid w:val="7C5141AD"/>
    <w:rsid w:val="7C87F428"/>
    <w:rsid w:val="7C8879E0"/>
    <w:rsid w:val="7CE24215"/>
    <w:rsid w:val="7D384B75"/>
    <w:rsid w:val="7D751AAA"/>
    <w:rsid w:val="7E333145"/>
    <w:rsid w:val="7EBE410A"/>
    <w:rsid w:val="7EC20B23"/>
    <w:rsid w:val="7F186BF0"/>
    <w:rsid w:val="7F5468C6"/>
    <w:rsid w:val="7FCE00C1"/>
    <w:rsid w:val="7FD26EAD"/>
    <w:rsid w:val="7FDFE263"/>
    <w:rsid w:val="87937C39"/>
    <w:rsid w:val="B8ED7CC2"/>
    <w:rsid w:val="D3DFF320"/>
    <w:rsid w:val="DF9B48D6"/>
    <w:rsid w:val="EFDFC9FB"/>
    <w:rsid w:val="F6FF5387"/>
    <w:rsid w:val="FBFFEC88"/>
    <w:rsid w:val="FCEAECB5"/>
    <w:rsid w:val="FEFF65F2"/>
    <w:rsid w:val="FFCF5E1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0"/>
    <w:qFormat/>
    <w:uiPriority w:val="0"/>
    <w:rPr>
      <w:sz w:val="18"/>
      <w:szCs w:val="18"/>
    </w:rPr>
  </w:style>
  <w:style w:type="paragraph" w:styleId="3">
    <w:name w:val="footer"/>
    <w:basedOn w:val="1"/>
    <w:link w:val="9"/>
    <w:qFormat/>
    <w:uiPriority w:val="0"/>
    <w:pPr>
      <w:tabs>
        <w:tab w:val="center" w:pos="4153"/>
        <w:tab w:val="right" w:pos="8306"/>
      </w:tabs>
      <w:snapToGrid w:val="0"/>
      <w:jc w:val="left"/>
    </w:pPr>
    <w:rPr>
      <w:sz w:val="18"/>
      <w:szCs w:val="18"/>
    </w:rPr>
  </w:style>
  <w:style w:type="paragraph" w:styleId="4">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paragraph" w:customStyle="1" w:styleId="7">
    <w:name w:val="p0"/>
    <w:basedOn w:val="1"/>
    <w:qFormat/>
    <w:uiPriority w:val="0"/>
    <w:pPr>
      <w:widowControl/>
    </w:pPr>
    <w:rPr>
      <w:kern w:val="0"/>
      <w:szCs w:val="21"/>
    </w:rPr>
  </w:style>
  <w:style w:type="character" w:customStyle="1" w:styleId="8">
    <w:name w:val="页眉 字符"/>
    <w:basedOn w:val="6"/>
    <w:link w:val="4"/>
    <w:qFormat/>
    <w:uiPriority w:val="0"/>
    <w:rPr>
      <w:kern w:val="2"/>
      <w:sz w:val="18"/>
      <w:szCs w:val="18"/>
    </w:rPr>
  </w:style>
  <w:style w:type="character" w:customStyle="1" w:styleId="9">
    <w:name w:val="页脚 字符"/>
    <w:basedOn w:val="6"/>
    <w:link w:val="3"/>
    <w:qFormat/>
    <w:uiPriority w:val="0"/>
    <w:rPr>
      <w:kern w:val="2"/>
      <w:sz w:val="18"/>
      <w:szCs w:val="18"/>
    </w:rPr>
  </w:style>
  <w:style w:type="character" w:customStyle="1" w:styleId="10">
    <w:name w:val="批注框文本 字符"/>
    <w:basedOn w:val="6"/>
    <w:link w:val="2"/>
    <w:qFormat/>
    <w:uiPriority w:val="0"/>
    <w:rPr>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HP</Company>
  <Pages>6</Pages>
  <Words>2094</Words>
  <Characters>2156</Characters>
  <Lines>17</Lines>
  <Paragraphs>4</Paragraphs>
  <TotalTime>1</TotalTime>
  <ScaleCrop>false</ScaleCrop>
  <LinksUpToDate>false</LinksUpToDate>
  <CharactersWithSpaces>2168</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2026-04-21T23:03:00Z</dcterms:created>
  <dc:creator>左喻</dc:creator>
  <cp:lastModifiedBy>付慧娟</cp:lastModifiedBy>
  <dcterms:modified xsi:type="dcterms:W3CDTF">2026-04-30T00:36:29Z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1BA4678F976D46E8AF0CACBFB789179D_13</vt:lpwstr>
  </property>
  <property fmtid="{D5CDD505-2E9C-101B-9397-08002B2CF9AE}" pid="4" name="KSOTemplateDocerSaveRecord">
    <vt:lpwstr>eyJoZGlkIjoiNmUwOWU0NjllYWFjOTNmOGQzZjZlZWYwZWEzNWVmZjMifQ==</vt:lpwstr>
  </property>
</Properties>
</file>