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2F46FCA">
      <w:pPr>
        <w:outlineLvl w:val="0"/>
        <w:rPr>
          <w:rFonts w:ascii="黑体" w:hAnsi="仿宋" w:eastAsia="黑体"/>
          <w:b/>
          <w:bCs/>
          <w:color w:val="000000"/>
          <w:sz w:val="32"/>
          <w:szCs w:val="32"/>
        </w:rPr>
      </w:pPr>
      <w:r>
        <w:rPr>
          <w:rFonts w:hint="eastAsia" w:ascii="黑体" w:hAnsi="仿宋" w:eastAsia="黑体"/>
          <w:b/>
          <w:bCs/>
          <w:color w:val="000000"/>
          <w:sz w:val="32"/>
          <w:szCs w:val="32"/>
        </w:rPr>
        <w:t>附件六:</w:t>
      </w:r>
    </w:p>
    <w:p w14:paraId="3C0946A0">
      <w:pPr>
        <w:ind w:firstLine="0" w:firstLineChars="0"/>
        <w:jc w:val="center"/>
        <w:outlineLvl w:val="0"/>
        <w:rPr>
          <w:rFonts w:ascii="宋体" w:hAnsi="宋体"/>
          <w:b/>
          <w:bCs/>
          <w:color w:val="000000"/>
          <w:sz w:val="44"/>
          <w:szCs w:val="44"/>
        </w:rPr>
      </w:pPr>
      <w:r>
        <w:rPr>
          <w:rFonts w:hint="eastAsia" w:ascii="宋体" w:hAnsi="宋体"/>
          <w:b/>
          <w:bCs/>
          <w:color w:val="000000"/>
          <w:sz w:val="44"/>
          <w:szCs w:val="44"/>
        </w:rPr>
        <w:t>中南财经政法大学研究生会“权益服务单项奖”评分细则及申报表</w:t>
      </w:r>
    </w:p>
    <w:p w14:paraId="095B88DC">
      <w:pPr>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一、活动筹办方面（</w:t>
      </w:r>
      <w:r>
        <w:rPr>
          <w:rFonts w:ascii="Times New Roman Regular" w:hAnsi="Times New Roman Regular" w:eastAsia="仿宋" w:cs="Times New Roman Regular"/>
          <w:b/>
          <w:color w:val="000000"/>
          <w:sz w:val="32"/>
          <w:szCs w:val="32"/>
        </w:rPr>
        <w:t>30</w:t>
      </w:r>
      <w:r>
        <w:rPr>
          <w:rFonts w:hint="eastAsia" w:ascii="仿宋" w:hAnsi="仿宋" w:eastAsia="仿宋" w:cs="仿宋_GB2312"/>
          <w:b/>
          <w:color w:val="000000"/>
          <w:sz w:val="32"/>
          <w:szCs w:val="32"/>
        </w:rPr>
        <w:t>分）</w:t>
      </w:r>
    </w:p>
    <w:p w14:paraId="31DE6C96">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（一）在权益服务相关活动中以</w:t>
      </w:r>
      <w:r>
        <w:rPr>
          <w:rFonts w:hint="eastAsia" w:ascii="仿宋" w:hAnsi="仿宋" w:eastAsia="仿宋"/>
          <w:color w:val="000000"/>
          <w:sz w:val="32"/>
          <w:szCs w:val="32"/>
        </w:rPr>
        <w:t>习近平新时代中国特色社会主义思想为指导，</w:t>
      </w:r>
      <w:r>
        <w:rPr>
          <w:rFonts w:hint="eastAsia" w:ascii="仿宋" w:hAnsi="仿宋" w:eastAsia="仿宋" w:cs="仿宋_GB2312"/>
          <w:color w:val="000000"/>
          <w:sz w:val="32"/>
          <w:szCs w:val="32"/>
        </w:rPr>
        <w:t>积极开展、参与“我为师生办实事”“青研倾听交流荟”等活动，紧紧围绕师生急难愁盼问题，用心用力用情服务师生，</w:t>
      </w:r>
      <w:r>
        <w:rPr>
          <w:rFonts w:ascii="Times New Roman Regular" w:hAnsi="Times New Roman Regular" w:eastAsia="仿宋" w:cs="Times New Roman Regular"/>
          <w:color w:val="000000"/>
          <w:sz w:val="32"/>
          <w:szCs w:val="32"/>
        </w:rPr>
        <w:t>7</w:t>
      </w:r>
      <w:r>
        <w:rPr>
          <w:rFonts w:hint="eastAsia" w:ascii="仿宋" w:hAnsi="仿宋" w:eastAsia="仿宋" w:cs="仿宋_GB2312"/>
          <w:color w:val="000000"/>
          <w:sz w:val="32"/>
          <w:szCs w:val="32"/>
        </w:rPr>
        <w:t>分。</w:t>
      </w:r>
    </w:p>
    <w:p w14:paraId="414393FA">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（二）秉持“全心全意为研究生服务”理念，凝聚学生力量、服务同学成长、助力学校发展，积极培养</w:t>
      </w:r>
      <w:r>
        <w:rPr>
          <w:rFonts w:hint="eastAsia" w:ascii="仿宋" w:hAnsi="仿宋" w:eastAsia="仿宋" w:cs="仿宋_GB2312"/>
          <w:color w:val="000000"/>
          <w:kern w:val="0"/>
          <w:sz w:val="32"/>
          <w:szCs w:val="32"/>
        </w:rPr>
        <w:t>在校研究生自我教育、自我管理、自我服务</w:t>
      </w:r>
      <w:r>
        <w:rPr>
          <w:rStyle w:val="9"/>
          <w:rFonts w:hint="eastAsia" w:ascii="仿宋" w:hAnsi="仿宋" w:eastAsia="仿宋" w:cs="仿宋_GB2312"/>
          <w:sz w:val="32"/>
          <w:szCs w:val="32"/>
        </w:rPr>
        <w:t>、</w:t>
      </w:r>
      <w:r>
        <w:rPr>
          <w:rFonts w:hint="eastAsia" w:ascii="仿宋" w:hAnsi="仿宋" w:eastAsia="仿宋" w:cs="仿宋_GB2312"/>
          <w:color w:val="000000"/>
          <w:kern w:val="0"/>
          <w:sz w:val="32"/>
          <w:szCs w:val="32"/>
        </w:rPr>
        <w:t>自我监督的意识，</w:t>
      </w:r>
      <w:r>
        <w:rPr>
          <w:rFonts w:ascii="Times New Roman Regular" w:hAnsi="Times New Roman Regular" w:eastAsia="仿宋" w:cs="Times New Roman Regular"/>
          <w:color w:val="000000"/>
          <w:kern w:val="0"/>
          <w:sz w:val="32"/>
          <w:szCs w:val="32"/>
        </w:rPr>
        <w:t>6</w:t>
      </w:r>
      <w:r>
        <w:rPr>
          <w:rFonts w:hint="eastAsia" w:ascii="仿宋" w:hAnsi="仿宋" w:eastAsia="仿宋" w:cs="仿宋_GB2312"/>
          <w:color w:val="000000"/>
          <w:sz w:val="32"/>
          <w:szCs w:val="32"/>
        </w:rPr>
        <w:t>分。</w:t>
      </w:r>
    </w:p>
    <w:p w14:paraId="5132BCE3">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（三）积极开展形式多样、贴近广大研究生的权益服务类活动，注重全面发展。在活动中</w:t>
      </w:r>
      <w:r>
        <w:rPr>
          <w:rFonts w:ascii="仿宋" w:hAnsi="仿宋" w:eastAsia="仿宋" w:cs="仿宋_GB2312"/>
          <w:color w:val="000000"/>
          <w:sz w:val="32"/>
          <w:szCs w:val="32"/>
        </w:rPr>
        <w:t>肯定劳动价值、倡导劳动实践、颂扬劳动精神、传播劳动文化</w:t>
      </w:r>
      <w:r>
        <w:rPr>
          <w:rFonts w:hint="eastAsia" w:ascii="仿宋" w:hAnsi="仿宋" w:eastAsia="仿宋" w:cs="仿宋_GB2312"/>
          <w:color w:val="000000"/>
          <w:sz w:val="32"/>
          <w:szCs w:val="32"/>
        </w:rPr>
        <w:t>，并得到全校研究生的支持和参与，能回应广大研究生的合理诉求，</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7A43CE87">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四）活动申报材料完整，策划明确、清晰、合理，海报及展板设计美观，能够根据策划有效地开展活动，能够覆盖一定范围的学生群体，保证活动效果。活动举办在权益维护与保障、就业帮扶与指导等方面切实起到促进作用，</w:t>
      </w:r>
      <w:r>
        <w:rPr>
          <w:rFonts w:ascii="Times New Roman Regular" w:hAnsi="Times New Roman Regular" w:eastAsia="仿宋" w:cs="Times New Roman Regular"/>
          <w:color w:val="000000"/>
          <w:sz w:val="32"/>
          <w:szCs w:val="32"/>
        </w:rPr>
        <w:t>7</w:t>
      </w:r>
      <w:r>
        <w:rPr>
          <w:rFonts w:hint="eastAsia" w:ascii="仿宋" w:hAnsi="仿宋" w:eastAsia="仿宋" w:cs="仿宋_GB2312"/>
          <w:color w:val="000000"/>
          <w:sz w:val="32"/>
          <w:szCs w:val="32"/>
        </w:rPr>
        <w:t>分。</w:t>
      </w:r>
    </w:p>
    <w:p w14:paraId="02870A56">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（五）活动结束后，能及时对活动情况进行报道与宣传，对活动筹办过程中的成功与不足进行总结与反思，</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3490CA27">
      <w:pPr>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二、提案收集与落实方面（</w:t>
      </w:r>
      <w:r>
        <w:rPr>
          <w:rFonts w:ascii="Times New Roman Regular" w:hAnsi="Times New Roman Regular" w:eastAsia="仿宋" w:cs="Times New Roman Regular"/>
          <w:b/>
          <w:color w:val="000000"/>
          <w:sz w:val="32"/>
          <w:szCs w:val="32"/>
        </w:rPr>
        <w:t>40</w:t>
      </w:r>
      <w:r>
        <w:rPr>
          <w:rFonts w:hint="eastAsia" w:ascii="仿宋" w:hAnsi="仿宋" w:eastAsia="仿宋" w:cs="仿宋_GB2312"/>
          <w:b/>
          <w:color w:val="000000"/>
          <w:sz w:val="32"/>
          <w:szCs w:val="32"/>
        </w:rPr>
        <w:t>分）</w:t>
      </w:r>
    </w:p>
    <w:p w14:paraId="42B4E6BB">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（一）设有专人负责收集、汇总、提交、跟进提案，</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53605E7A">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（二）设有邮箱、QQ群、微信等多种渠道收集提案，</w:t>
      </w:r>
      <w:r>
        <w:rPr>
          <w:rFonts w:ascii="Times New Roman Regular" w:hAnsi="Times New Roman Regular" w:eastAsia="仿宋" w:cs="Times New Roman Regular"/>
          <w:color w:val="000000"/>
          <w:sz w:val="32"/>
          <w:szCs w:val="32"/>
        </w:rPr>
        <w:t>3</w:t>
      </w:r>
      <w:r>
        <w:rPr>
          <w:rFonts w:hint="eastAsia" w:ascii="仿宋" w:hAnsi="仿宋" w:eastAsia="仿宋" w:cs="仿宋_GB2312"/>
          <w:color w:val="000000"/>
          <w:sz w:val="32"/>
          <w:szCs w:val="32"/>
        </w:rPr>
        <w:t>分。</w:t>
      </w:r>
    </w:p>
    <w:p w14:paraId="68797425">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（三）定期做好研究生同学意见收集与跟进的宣传工作，确保提案收集工作覆盖全院师生，确保从各渠道收到提案后能做到及时回复，重大、紧急提案能实时上报，</w:t>
      </w:r>
      <w:r>
        <w:rPr>
          <w:rFonts w:ascii="Times New Roman Regular" w:hAnsi="Times New Roman Regular" w:eastAsia="仿宋" w:cs="Times New Roman Regular"/>
          <w:color w:val="000000"/>
          <w:sz w:val="32"/>
          <w:szCs w:val="32"/>
        </w:rPr>
        <w:t>6</w:t>
      </w:r>
      <w:r>
        <w:rPr>
          <w:rFonts w:hint="eastAsia" w:ascii="仿宋" w:hAnsi="仿宋" w:eastAsia="仿宋" w:cs="仿宋_GB2312"/>
          <w:color w:val="000000"/>
          <w:sz w:val="32"/>
          <w:szCs w:val="32"/>
        </w:rPr>
        <w:t>分。</w:t>
      </w:r>
    </w:p>
    <w:p w14:paraId="28C18D43">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（四）收集整理和提交的提案应尽量覆盖研究生生活、学习等多方面，力求切合研究生实际需求，解决研究生现实困难，</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4F12A013">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五）灵活运用邮件、微信、座谈会、办公会等多种提交提案的形式，与校研究生会保持有效沟通，无不回复短信、邮件、电话通知、工作传达落实不到位等情况，及时反馈本院研究生建议意见、提案解决方案及落实情况，</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616E3A82">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（六）准时参加研究生</w:t>
      </w:r>
      <w:r>
        <w:rPr>
          <w:rFonts w:hint="eastAsia" w:ascii="仿宋" w:hAnsi="仿宋" w:eastAsia="仿宋" w:cs="仿宋_GB2312"/>
          <w:color w:val="000000"/>
          <w:sz w:val="32"/>
          <w:szCs w:val="32"/>
          <w:lang w:val="en-US" w:eastAsia="zh-CN"/>
        </w:rPr>
        <w:t>代表</w:t>
      </w:r>
      <w:r>
        <w:rPr>
          <w:rFonts w:hint="eastAsia" w:ascii="仿宋" w:hAnsi="仿宋" w:eastAsia="仿宋" w:cs="仿宋_GB2312"/>
          <w:color w:val="000000"/>
          <w:sz w:val="32"/>
          <w:szCs w:val="32"/>
        </w:rPr>
        <w:t>座谈会，积极有效地反映提案内容（单次会议无故缺勤扣</w:t>
      </w:r>
      <w:r>
        <w:rPr>
          <w:rFonts w:ascii="Times New Roman Regular" w:hAnsi="Times New Roman Regular" w:eastAsia="仿宋" w:cs="Times New Roman Regular"/>
          <w:color w:val="000000"/>
          <w:sz w:val="32"/>
          <w:szCs w:val="32"/>
        </w:rPr>
        <w:t>2</w:t>
      </w:r>
      <w:r>
        <w:rPr>
          <w:rFonts w:hint="eastAsia" w:ascii="仿宋" w:hAnsi="仿宋" w:eastAsia="仿宋" w:cs="仿宋_GB2312"/>
          <w:color w:val="000000"/>
          <w:sz w:val="32"/>
          <w:szCs w:val="32"/>
        </w:rPr>
        <w:t>分，请假扣</w:t>
      </w:r>
      <w:r>
        <w:rPr>
          <w:rFonts w:ascii="Times New Roman Regular" w:hAnsi="Times New Roman Regular" w:eastAsia="仿宋" w:cs="Times New Roman Regular"/>
          <w:color w:val="000000"/>
          <w:sz w:val="32"/>
          <w:szCs w:val="32"/>
        </w:rPr>
        <w:t>0</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分，共</w:t>
      </w:r>
      <w:r>
        <w:rPr>
          <w:rFonts w:ascii="Times New Roman Regular" w:hAnsi="Times New Roman Regular" w:eastAsia="仿宋" w:cs="Times New Roman Regular"/>
          <w:color w:val="000000"/>
          <w:sz w:val="32"/>
          <w:szCs w:val="32"/>
        </w:rPr>
        <w:t>8</w:t>
      </w:r>
      <w:r>
        <w:rPr>
          <w:rFonts w:hint="eastAsia" w:ascii="仿宋" w:hAnsi="仿宋" w:eastAsia="仿宋" w:cs="仿宋_GB2312"/>
          <w:color w:val="000000"/>
          <w:sz w:val="32"/>
          <w:szCs w:val="32"/>
        </w:rPr>
        <w:t>分，扣完为止）。</w:t>
      </w:r>
    </w:p>
    <w:p w14:paraId="323307E3">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（七）积极配合校研究生会生活权益部工作，协助校内活动的宣传工作，积极参与校内重要活动，能提出建设性意见推动完善校园建设，</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264DAADF">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（八）充分了解校研究生会发布的提案工作报告，并及时将其在学院范围内进行公示，确保各学院在校研究生及时知晓提案工作报告，</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65AF384B">
      <w:pPr>
        <w:ind w:firstLine="643" w:firstLineChars="200"/>
        <w:outlineLvl w:val="0"/>
        <w:rPr>
          <w:rFonts w:ascii="仿宋" w:hAnsi="仿宋" w:eastAsia="仿宋" w:cs="仿宋_GB2312"/>
          <w:b/>
          <w:color w:val="000000"/>
          <w:sz w:val="32"/>
          <w:szCs w:val="32"/>
        </w:rPr>
      </w:pPr>
      <w:r>
        <w:rPr>
          <w:rFonts w:hint="eastAsia" w:ascii="仿宋" w:hAnsi="仿宋" w:eastAsia="仿宋" w:cs="仿宋_GB2312"/>
          <w:b/>
          <w:color w:val="000000"/>
          <w:sz w:val="32"/>
          <w:szCs w:val="32"/>
        </w:rPr>
        <w:t>三、服务效果方面（</w:t>
      </w:r>
      <w:r>
        <w:rPr>
          <w:rFonts w:ascii="Times New Roman Regular" w:hAnsi="Times New Roman Regular" w:eastAsia="仿宋" w:cs="Times New Roman Regular"/>
          <w:b/>
          <w:color w:val="000000"/>
          <w:sz w:val="32"/>
          <w:szCs w:val="32"/>
        </w:rPr>
        <w:t>30</w:t>
      </w:r>
      <w:r>
        <w:rPr>
          <w:rFonts w:hint="eastAsia" w:ascii="仿宋" w:hAnsi="仿宋" w:eastAsia="仿宋" w:cs="仿宋_GB2312"/>
          <w:b/>
          <w:color w:val="000000"/>
          <w:sz w:val="32"/>
          <w:szCs w:val="32"/>
        </w:rPr>
        <w:t>分）</w:t>
      </w:r>
    </w:p>
    <w:p w14:paraId="35062969">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（一）学院提交的提案规范有效，年度提案数量占提案总数量的比例与学院研究生规模相当，提案内容无多次重复现象，</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分；举办“研职有道”等就业指导类活动和其他权益服务类活动，活动参与度高，实际参与人数不低于活动预计参与人数的</w:t>
      </w:r>
      <w:r>
        <w:rPr>
          <w:rFonts w:ascii="Times New Roman Regular" w:hAnsi="Times New Roman Regular" w:eastAsia="仿宋" w:cs="Times New Roman Regular"/>
          <w:color w:val="000000"/>
          <w:sz w:val="32"/>
          <w:szCs w:val="32"/>
        </w:rPr>
        <w:t>60</w:t>
      </w:r>
      <w:r>
        <w:rPr>
          <w:rFonts w:hint="eastAsia" w:ascii="仿宋" w:hAnsi="仿宋" w:eastAsia="仿宋" w:cs="仿宋_GB2312"/>
          <w:color w:val="000000"/>
          <w:sz w:val="32"/>
          <w:szCs w:val="32"/>
        </w:rPr>
        <w:t>%，</w:t>
      </w:r>
      <w:r>
        <w:rPr>
          <w:rFonts w:ascii="Times New Roman Regular" w:hAnsi="Times New Roman Regular" w:eastAsia="仿宋" w:cs="Times New Roman Regular"/>
          <w:color w:val="000000"/>
          <w:sz w:val="32"/>
          <w:szCs w:val="32"/>
        </w:rPr>
        <w:t>5</w:t>
      </w:r>
      <w:r>
        <w:rPr>
          <w:rFonts w:hint="eastAsia" w:ascii="仿宋" w:hAnsi="仿宋" w:eastAsia="仿宋" w:cs="仿宋_GB2312"/>
          <w:color w:val="000000"/>
          <w:sz w:val="32"/>
          <w:szCs w:val="32"/>
        </w:rPr>
        <w:t>分。</w:t>
      </w:r>
    </w:p>
    <w:p w14:paraId="0362FFF6">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（二）积极主动参与到校研究生会提案对接过程，与学校相关职能部门沟通并跟进提案的解决和落实，及时向提案人反馈相应信息，并能在学院内进行公示和宣传，</w:t>
      </w:r>
      <w:r>
        <w:rPr>
          <w:rFonts w:ascii="Times New Roman Regular" w:hAnsi="Times New Roman Regular" w:eastAsia="仿宋" w:cs="Times New Roman Regular"/>
          <w:color w:val="000000"/>
          <w:sz w:val="32"/>
          <w:szCs w:val="32"/>
        </w:rPr>
        <w:t>10</w:t>
      </w:r>
      <w:r>
        <w:rPr>
          <w:rFonts w:hint="eastAsia" w:ascii="仿宋" w:hAnsi="仿宋" w:eastAsia="仿宋" w:cs="仿宋_GB2312"/>
          <w:color w:val="000000"/>
          <w:sz w:val="32"/>
          <w:szCs w:val="32"/>
        </w:rPr>
        <w:t>分。</w:t>
      </w:r>
    </w:p>
    <w:p w14:paraId="15F8867F">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（三）在学院的积极配合和共同努力下，有效提案的解决率超过</w:t>
      </w:r>
      <w:r>
        <w:rPr>
          <w:rFonts w:ascii="Times New Roman Regular" w:hAnsi="Times New Roman Regular" w:eastAsia="仿宋" w:cs="Times New Roman Regular"/>
          <w:color w:val="000000"/>
          <w:sz w:val="32"/>
          <w:szCs w:val="32"/>
        </w:rPr>
        <w:t>80</w:t>
      </w:r>
      <w:r>
        <w:rPr>
          <w:rFonts w:hint="eastAsia" w:ascii="仿宋" w:hAnsi="仿宋" w:eastAsia="仿宋" w:cs="仿宋_GB2312"/>
          <w:color w:val="000000"/>
          <w:sz w:val="32"/>
          <w:szCs w:val="32"/>
        </w:rPr>
        <w:t>%，在校研究生能切实感受到问题的解决、制度的优化，</w:t>
      </w:r>
      <w:r>
        <w:rPr>
          <w:rFonts w:ascii="Times New Roman Regular" w:hAnsi="Times New Roman Regular" w:eastAsia="仿宋" w:cs="Times New Roman Regular"/>
          <w:color w:val="000000"/>
          <w:sz w:val="32"/>
          <w:szCs w:val="32"/>
        </w:rPr>
        <w:t>10</w:t>
      </w:r>
      <w:r>
        <w:rPr>
          <w:rFonts w:hint="eastAsia" w:ascii="仿宋" w:hAnsi="仿宋" w:eastAsia="仿宋" w:cs="仿宋_GB2312"/>
          <w:color w:val="000000"/>
          <w:sz w:val="32"/>
          <w:szCs w:val="32"/>
        </w:rPr>
        <w:t>分。</w:t>
      </w:r>
    </w:p>
    <w:p w14:paraId="7FC152CC">
      <w:pPr>
        <w:adjustRightInd w:val="0"/>
        <w:ind w:firstLine="643" w:firstLineChars="200"/>
        <w:rPr>
          <w:rFonts w:ascii="仿宋" w:hAnsi="仿宋" w:eastAsia="仿宋" w:cs="仿宋_GB2312"/>
          <w:b/>
          <w:bCs/>
          <w:color w:val="000000"/>
          <w:sz w:val="32"/>
          <w:szCs w:val="32"/>
        </w:rPr>
      </w:pPr>
      <w:r>
        <w:rPr>
          <w:rFonts w:hint="eastAsia" w:ascii="仿宋" w:hAnsi="仿宋" w:eastAsia="仿宋" w:cs="仿宋_GB2312"/>
          <w:b/>
          <w:bCs/>
          <w:color w:val="000000"/>
          <w:sz w:val="32"/>
          <w:szCs w:val="32"/>
        </w:rPr>
        <w:t>四、申报要求</w:t>
      </w:r>
    </w:p>
    <w:p w14:paraId="76F04046">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一）考核分为申报材料考核、风采展示和现场答辩。其中，申报材料由校研究生会考核小组依据本文件进行评分。风采展示由各学院通过学院研会微信公众号、学院官网等平台对所在学院研究生会权益服务品牌活动进行简要介绍，校研究生会在“中南财经政法大学研究生会微信公众号”组织投票，根据投票结果计分。现场答辩由校研究生会秘书处组织各学院主席团成员集中答辩。</w:t>
      </w:r>
    </w:p>
    <w:p w14:paraId="736F109C">
      <w:pPr>
        <w:adjustRightInd w:val="0"/>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（二）</w:t>
      </w:r>
      <w:r>
        <w:rPr>
          <w:rFonts w:ascii="仿宋" w:hAnsi="仿宋" w:eastAsia="仿宋" w:cs="仿宋_GB2312"/>
          <w:color w:val="000000"/>
          <w:sz w:val="32"/>
          <w:szCs w:val="32"/>
        </w:rPr>
        <w:t>评比分数。</w:t>
      </w:r>
      <w:r>
        <w:rPr>
          <w:rFonts w:hint="eastAsia" w:ascii="仿宋" w:hAnsi="仿宋" w:eastAsia="仿宋" w:cs="仿宋_GB2312"/>
          <w:color w:val="000000"/>
          <w:sz w:val="32"/>
          <w:szCs w:val="32"/>
        </w:rPr>
        <w:t>各学院最终得分=</w:t>
      </w:r>
      <w:r>
        <w:rPr>
          <w:rFonts w:ascii="Times New Roman Regular" w:hAnsi="Times New Roman Regular" w:eastAsia="仿宋" w:cs="Times New Roman Regular"/>
          <w:color w:val="000000"/>
          <w:sz w:val="32"/>
          <w:szCs w:val="32"/>
        </w:rPr>
        <w:t>20</w:t>
      </w:r>
      <w:r>
        <w:rPr>
          <w:rFonts w:hint="eastAsia" w:ascii="仿宋" w:hAnsi="仿宋" w:eastAsia="仿宋" w:cs="仿宋_GB2312"/>
          <w:color w:val="000000"/>
          <w:sz w:val="32"/>
          <w:szCs w:val="32"/>
        </w:rPr>
        <w:t>%*申报材料得分+</w:t>
      </w:r>
      <w:r>
        <w:rPr>
          <w:rFonts w:ascii="Times New Roman Regular" w:hAnsi="Times New Roman Regular" w:eastAsia="仿宋" w:cs="Times New Roman Regular"/>
          <w:color w:val="000000"/>
          <w:sz w:val="32"/>
          <w:szCs w:val="32"/>
        </w:rPr>
        <w:t>30</w:t>
      </w:r>
      <w:r>
        <w:rPr>
          <w:rFonts w:hint="eastAsia" w:ascii="仿宋" w:hAnsi="仿宋" w:eastAsia="仿宋" w:cs="仿宋_GB2312"/>
          <w:color w:val="000000"/>
          <w:sz w:val="32"/>
          <w:szCs w:val="32"/>
        </w:rPr>
        <w:t>%*风采展示+</w:t>
      </w:r>
      <w:r>
        <w:rPr>
          <w:rFonts w:ascii="Times New Roman Regular" w:hAnsi="Times New Roman Regular" w:eastAsia="仿宋" w:cs="Times New Roman Regular"/>
          <w:color w:val="000000"/>
          <w:sz w:val="32"/>
          <w:szCs w:val="32"/>
        </w:rPr>
        <w:t>50</w:t>
      </w:r>
      <w:r>
        <w:rPr>
          <w:rFonts w:hint="eastAsia" w:ascii="仿宋" w:hAnsi="仿宋" w:eastAsia="仿宋" w:cs="仿宋_GB2312"/>
          <w:color w:val="000000"/>
          <w:sz w:val="32"/>
          <w:szCs w:val="32"/>
        </w:rPr>
        <w:t>%*答辩得分。其中，风采展示得分按照如下规则计算：</w:t>
      </w:r>
    </w:p>
    <w:p w14:paraId="61ADD1EA">
      <w:pPr>
        <w:adjustRightInd w:val="0"/>
        <w:ind w:firstLine="640" w:firstLineChars="200"/>
        <w:rPr>
          <w:rFonts w:ascii="仿宋" w:hAnsi="仿宋" w:eastAsia="仿宋" w:cs="仿宋_GB2312"/>
          <w:color w:val="000000"/>
          <w:sz w:val="32"/>
          <w:szCs w:val="32"/>
        </w:rPr>
      </w:pPr>
    </w:p>
    <w:tbl>
      <w:tblPr>
        <w:tblStyle w:val="7"/>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3"/>
        <w:gridCol w:w="3409"/>
      </w:tblGrid>
      <w:tr w14:paraId="520C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0028187C">
            <w:pPr>
              <w:jc w:val="center"/>
              <w:rPr>
                <w:rFonts w:ascii="仿宋" w:hAnsi="仿宋" w:eastAsia="仿宋"/>
                <w:b/>
                <w:color w:val="000000"/>
                <w:sz w:val="32"/>
                <w:szCs w:val="32"/>
              </w:rPr>
            </w:pPr>
            <w:r>
              <w:rPr>
                <w:rFonts w:hint="eastAsia" w:ascii="仿宋" w:hAnsi="仿宋" w:eastAsia="仿宋"/>
                <w:b/>
                <w:color w:val="000000"/>
                <w:sz w:val="32"/>
                <w:szCs w:val="32"/>
              </w:rPr>
              <w:t>投票人数占学院</w:t>
            </w:r>
          </w:p>
          <w:p w14:paraId="0AF6F07B">
            <w:pPr>
              <w:jc w:val="center"/>
              <w:rPr>
                <w:rFonts w:ascii="仿宋" w:hAnsi="仿宋" w:eastAsia="仿宋"/>
                <w:b/>
                <w:color w:val="000000"/>
                <w:sz w:val="32"/>
                <w:szCs w:val="32"/>
              </w:rPr>
            </w:pPr>
            <w:r>
              <w:rPr>
                <w:rFonts w:hint="eastAsia" w:ascii="仿宋" w:hAnsi="仿宋" w:eastAsia="仿宋"/>
                <w:b/>
                <w:color w:val="000000"/>
                <w:sz w:val="32"/>
                <w:szCs w:val="32"/>
              </w:rPr>
              <w:t>全日制</w:t>
            </w:r>
            <w:r>
              <w:rPr>
                <w:rFonts w:hint="eastAsia" w:ascii="仿宋" w:hAnsi="仿宋" w:eastAsia="仿宋"/>
                <w:b/>
                <w:color w:val="000000"/>
                <w:sz w:val="32"/>
                <w:szCs w:val="32"/>
                <w:lang w:val="en-US" w:eastAsia="zh-CN"/>
              </w:rPr>
              <w:t>硕博</w:t>
            </w:r>
            <w:r>
              <w:rPr>
                <w:rFonts w:hint="eastAsia" w:ascii="仿宋" w:hAnsi="仿宋" w:eastAsia="仿宋"/>
                <w:b/>
                <w:color w:val="000000"/>
                <w:sz w:val="32"/>
                <w:szCs w:val="32"/>
              </w:rPr>
              <w:t>研究生总人数的比例</w:t>
            </w:r>
          </w:p>
        </w:tc>
        <w:tc>
          <w:tcPr>
            <w:tcW w:w="3409" w:type="dxa"/>
            <w:tcBorders>
              <w:top w:val="single" w:color="auto" w:sz="4" w:space="0"/>
              <w:left w:val="nil"/>
              <w:bottom w:val="single" w:color="auto" w:sz="4" w:space="0"/>
              <w:right w:val="single" w:color="auto" w:sz="4" w:space="0"/>
            </w:tcBorders>
            <w:vAlign w:val="center"/>
          </w:tcPr>
          <w:p w14:paraId="0C8329E1">
            <w:pPr>
              <w:jc w:val="center"/>
              <w:rPr>
                <w:rFonts w:ascii="仿宋" w:hAnsi="仿宋" w:eastAsia="仿宋"/>
                <w:b/>
                <w:color w:val="000000"/>
                <w:sz w:val="32"/>
                <w:szCs w:val="32"/>
              </w:rPr>
            </w:pPr>
            <w:r>
              <w:rPr>
                <w:rFonts w:hint="eastAsia" w:ascii="仿宋" w:hAnsi="仿宋" w:eastAsia="仿宋"/>
                <w:b/>
                <w:color w:val="000000"/>
                <w:sz w:val="32"/>
                <w:szCs w:val="32"/>
                <w:lang w:bidi="ar"/>
              </w:rPr>
              <w:t>风采展示得分</w:t>
            </w:r>
          </w:p>
        </w:tc>
      </w:tr>
      <w:tr w14:paraId="58A5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7EEEE6CA">
            <w:pPr>
              <w:spacing w:line="300" w:lineRule="auto"/>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90</w:t>
            </w:r>
            <w:r>
              <w:rPr>
                <w:rFonts w:hint="eastAsia" w:ascii="仿宋" w:hAnsi="仿宋" w:eastAsia="仿宋"/>
                <w:color w:val="000000"/>
                <w:sz w:val="32"/>
                <w:szCs w:val="32"/>
              </w:rPr>
              <w:t>%</w:t>
            </w:r>
          </w:p>
        </w:tc>
        <w:tc>
          <w:tcPr>
            <w:tcW w:w="3409" w:type="dxa"/>
            <w:tcBorders>
              <w:top w:val="single" w:color="auto" w:sz="4" w:space="0"/>
              <w:left w:val="nil"/>
              <w:bottom w:val="single" w:color="auto" w:sz="4" w:space="0"/>
              <w:right w:val="single" w:color="auto" w:sz="4" w:space="0"/>
            </w:tcBorders>
            <w:vAlign w:val="center"/>
          </w:tcPr>
          <w:p w14:paraId="51019AE0">
            <w:pPr>
              <w:spacing w:line="300" w:lineRule="auto"/>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100</w:t>
            </w:r>
          </w:p>
        </w:tc>
      </w:tr>
      <w:tr w14:paraId="0401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1BD58527">
            <w:pPr>
              <w:spacing w:line="300" w:lineRule="auto"/>
              <w:jc w:val="center"/>
              <w:rPr>
                <w:rFonts w:ascii="仿宋" w:hAnsi="仿宋" w:eastAsia="仿宋"/>
                <w:color w:val="000000"/>
                <w:sz w:val="32"/>
                <w:szCs w:val="32"/>
              </w:rPr>
            </w:pP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80</w:t>
            </w:r>
            <w:r>
              <w:rPr>
                <w:rFonts w:hint="eastAsia" w:ascii="仿宋" w:hAnsi="仿宋" w:eastAsia="仿宋"/>
                <w:color w:val="000000"/>
                <w:sz w:val="32"/>
                <w:szCs w:val="32"/>
              </w:rPr>
              <w:t>%，＜</w:t>
            </w:r>
            <w:r>
              <w:rPr>
                <w:rFonts w:ascii="Times New Roman Regular" w:hAnsi="Times New Roman Regular" w:eastAsia="仿宋" w:cs="Times New Roman Regular"/>
                <w:color w:val="000000"/>
                <w:sz w:val="32"/>
                <w:szCs w:val="32"/>
              </w:rPr>
              <w:t>90</w:t>
            </w:r>
            <w:r>
              <w:rPr>
                <w:rFonts w:hint="eastAsia" w:ascii="仿宋" w:hAnsi="仿宋" w:eastAsia="仿宋"/>
                <w:color w:val="000000"/>
                <w:sz w:val="32"/>
                <w:szCs w:val="32"/>
              </w:rPr>
              <w:t>%</w:t>
            </w:r>
          </w:p>
        </w:tc>
        <w:tc>
          <w:tcPr>
            <w:tcW w:w="3409" w:type="dxa"/>
            <w:tcBorders>
              <w:top w:val="single" w:color="auto" w:sz="4" w:space="0"/>
              <w:left w:val="nil"/>
              <w:bottom w:val="single" w:color="auto" w:sz="4" w:space="0"/>
              <w:right w:val="single" w:color="auto" w:sz="4" w:space="0"/>
            </w:tcBorders>
            <w:vAlign w:val="center"/>
          </w:tcPr>
          <w:p w14:paraId="1C48EFD0">
            <w:pPr>
              <w:spacing w:line="300" w:lineRule="auto"/>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90</w:t>
            </w:r>
          </w:p>
        </w:tc>
      </w:tr>
      <w:tr w14:paraId="2867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7644BC37">
            <w:pPr>
              <w:spacing w:line="300" w:lineRule="auto"/>
              <w:jc w:val="center"/>
              <w:rPr>
                <w:rFonts w:ascii="仿宋" w:hAnsi="仿宋" w:eastAsia="仿宋"/>
                <w:color w:val="000000"/>
                <w:sz w:val="32"/>
                <w:szCs w:val="32"/>
              </w:rPr>
            </w:pP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70</w:t>
            </w: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80</w:t>
            </w:r>
            <w:r>
              <w:rPr>
                <w:rFonts w:hint="eastAsia" w:ascii="仿宋" w:hAnsi="仿宋" w:eastAsia="仿宋"/>
                <w:color w:val="000000"/>
                <w:sz w:val="32"/>
                <w:szCs w:val="32"/>
                <w:lang w:bidi="ar"/>
              </w:rPr>
              <w:t>%</w:t>
            </w:r>
          </w:p>
        </w:tc>
        <w:tc>
          <w:tcPr>
            <w:tcW w:w="3409" w:type="dxa"/>
            <w:tcBorders>
              <w:top w:val="single" w:color="auto" w:sz="4" w:space="0"/>
              <w:left w:val="nil"/>
              <w:bottom w:val="single" w:color="auto" w:sz="4" w:space="0"/>
              <w:right w:val="single" w:color="auto" w:sz="4" w:space="0"/>
            </w:tcBorders>
            <w:vAlign w:val="center"/>
          </w:tcPr>
          <w:p w14:paraId="62D781D3">
            <w:pPr>
              <w:spacing w:line="300" w:lineRule="auto"/>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80</w:t>
            </w:r>
          </w:p>
        </w:tc>
      </w:tr>
      <w:tr w14:paraId="35A0E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5F842312">
            <w:pPr>
              <w:spacing w:line="300" w:lineRule="auto"/>
              <w:jc w:val="center"/>
              <w:rPr>
                <w:rFonts w:ascii="仿宋" w:hAnsi="仿宋" w:eastAsia="仿宋"/>
                <w:color w:val="000000"/>
                <w:sz w:val="32"/>
                <w:szCs w:val="32"/>
              </w:rPr>
            </w:pP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60</w:t>
            </w: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70</w:t>
            </w:r>
            <w:r>
              <w:rPr>
                <w:rFonts w:hint="eastAsia" w:ascii="仿宋" w:hAnsi="仿宋" w:eastAsia="仿宋"/>
                <w:color w:val="000000"/>
                <w:sz w:val="32"/>
                <w:szCs w:val="32"/>
                <w:lang w:bidi="ar"/>
              </w:rPr>
              <w:t>%</w:t>
            </w:r>
          </w:p>
        </w:tc>
        <w:tc>
          <w:tcPr>
            <w:tcW w:w="3409" w:type="dxa"/>
            <w:tcBorders>
              <w:top w:val="single" w:color="auto" w:sz="4" w:space="0"/>
              <w:left w:val="nil"/>
              <w:bottom w:val="single" w:color="auto" w:sz="4" w:space="0"/>
              <w:right w:val="single" w:color="auto" w:sz="4" w:space="0"/>
            </w:tcBorders>
            <w:vAlign w:val="center"/>
          </w:tcPr>
          <w:p w14:paraId="635C3212">
            <w:pPr>
              <w:spacing w:line="300" w:lineRule="auto"/>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70</w:t>
            </w:r>
          </w:p>
        </w:tc>
      </w:tr>
      <w:tr w14:paraId="1966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4090D996">
            <w:pPr>
              <w:spacing w:line="300" w:lineRule="auto"/>
              <w:jc w:val="center"/>
              <w:rPr>
                <w:rFonts w:ascii="仿宋" w:hAnsi="仿宋" w:eastAsia="仿宋"/>
                <w:color w:val="000000"/>
                <w:sz w:val="32"/>
                <w:szCs w:val="32"/>
              </w:rPr>
            </w:pP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50</w:t>
            </w: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60</w:t>
            </w:r>
            <w:r>
              <w:rPr>
                <w:rFonts w:hint="eastAsia" w:ascii="仿宋" w:hAnsi="仿宋" w:eastAsia="仿宋"/>
                <w:color w:val="000000"/>
                <w:sz w:val="32"/>
                <w:szCs w:val="32"/>
                <w:lang w:bidi="ar"/>
              </w:rPr>
              <w:t>%</w:t>
            </w:r>
          </w:p>
        </w:tc>
        <w:tc>
          <w:tcPr>
            <w:tcW w:w="3409" w:type="dxa"/>
            <w:tcBorders>
              <w:top w:val="single" w:color="auto" w:sz="4" w:space="0"/>
              <w:left w:val="nil"/>
              <w:bottom w:val="single" w:color="auto" w:sz="4" w:space="0"/>
              <w:right w:val="single" w:color="auto" w:sz="4" w:space="0"/>
            </w:tcBorders>
            <w:vAlign w:val="center"/>
          </w:tcPr>
          <w:p w14:paraId="28B3891C">
            <w:pPr>
              <w:spacing w:line="300" w:lineRule="auto"/>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60</w:t>
            </w:r>
          </w:p>
        </w:tc>
      </w:tr>
      <w:tr w14:paraId="75D2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13" w:type="dxa"/>
            <w:tcBorders>
              <w:top w:val="single" w:color="auto" w:sz="4" w:space="0"/>
              <w:left w:val="single" w:color="auto" w:sz="4" w:space="0"/>
              <w:bottom w:val="single" w:color="auto" w:sz="4" w:space="0"/>
              <w:right w:val="single" w:color="auto" w:sz="4" w:space="0"/>
            </w:tcBorders>
            <w:vAlign w:val="center"/>
          </w:tcPr>
          <w:p w14:paraId="16D9286A">
            <w:pPr>
              <w:spacing w:line="300" w:lineRule="auto"/>
              <w:jc w:val="center"/>
              <w:rPr>
                <w:rFonts w:ascii="仿宋" w:hAnsi="仿宋" w:eastAsia="仿宋"/>
                <w:color w:val="000000"/>
                <w:sz w:val="32"/>
                <w:szCs w:val="32"/>
              </w:rPr>
            </w:pPr>
            <w:r>
              <w:rPr>
                <w:rFonts w:hint="eastAsia" w:ascii="仿宋" w:hAnsi="仿宋" w:eastAsia="仿宋"/>
                <w:color w:val="000000"/>
                <w:sz w:val="32"/>
                <w:szCs w:val="32"/>
                <w:lang w:bidi="ar"/>
              </w:rPr>
              <w:t>＜</w:t>
            </w:r>
            <w:r>
              <w:rPr>
                <w:rFonts w:ascii="Times New Roman Regular" w:hAnsi="Times New Roman Regular" w:eastAsia="仿宋" w:cs="Times New Roman Regular"/>
                <w:color w:val="000000"/>
                <w:sz w:val="32"/>
                <w:szCs w:val="32"/>
                <w:lang w:bidi="ar"/>
              </w:rPr>
              <w:t>50</w:t>
            </w:r>
            <w:r>
              <w:rPr>
                <w:rFonts w:hint="eastAsia" w:ascii="仿宋" w:hAnsi="仿宋" w:eastAsia="仿宋"/>
                <w:color w:val="000000"/>
                <w:sz w:val="32"/>
                <w:szCs w:val="32"/>
                <w:lang w:bidi="ar"/>
              </w:rPr>
              <w:t>%</w:t>
            </w:r>
          </w:p>
        </w:tc>
        <w:tc>
          <w:tcPr>
            <w:tcW w:w="3409" w:type="dxa"/>
            <w:tcBorders>
              <w:top w:val="single" w:color="auto" w:sz="4" w:space="0"/>
              <w:left w:val="nil"/>
              <w:bottom w:val="single" w:color="auto" w:sz="4" w:space="0"/>
              <w:right w:val="single" w:color="auto" w:sz="4" w:space="0"/>
            </w:tcBorders>
            <w:vAlign w:val="center"/>
          </w:tcPr>
          <w:p w14:paraId="66D03FFF">
            <w:pPr>
              <w:spacing w:line="300" w:lineRule="auto"/>
              <w:jc w:val="center"/>
              <w:rPr>
                <w:rFonts w:ascii="仿宋" w:hAnsi="仿宋" w:eastAsia="仿宋"/>
                <w:color w:val="000000"/>
                <w:sz w:val="32"/>
                <w:szCs w:val="32"/>
              </w:rPr>
            </w:pPr>
            <w:r>
              <w:rPr>
                <w:rFonts w:ascii="Times New Roman Regular" w:hAnsi="Times New Roman Regular" w:eastAsia="仿宋" w:cs="Times New Roman Regular"/>
                <w:color w:val="000000"/>
                <w:sz w:val="32"/>
                <w:szCs w:val="32"/>
              </w:rPr>
              <w:t>0</w:t>
            </w:r>
          </w:p>
        </w:tc>
      </w:tr>
    </w:tbl>
    <w:p w14:paraId="1A54A4C1">
      <w:pPr>
        <w:pStyle w:val="13"/>
        <w:adjustRightInd w:val="0"/>
        <w:rPr>
          <w:rFonts w:ascii="仿宋" w:hAnsi="仿宋" w:eastAsia="仿宋" w:cs="仿宋_GB2312"/>
          <w:b/>
          <w:color w:val="000000"/>
          <w:sz w:val="32"/>
          <w:szCs w:val="32"/>
        </w:rPr>
      </w:pPr>
    </w:p>
    <w:p w14:paraId="6EE6DD76">
      <w:pPr>
        <w:pStyle w:val="13"/>
        <w:wordWrap w:val="0"/>
        <w:adjustRightInd w:val="0"/>
        <w:ind w:right="-58"/>
        <w:jc w:val="right"/>
        <w:rPr>
          <w:rFonts w:ascii="仿宋" w:hAnsi="仿宋" w:eastAsia="仿宋" w:cs="仿宋_GB2312"/>
          <w:color w:val="000000"/>
          <w:kern w:val="2"/>
          <w:sz w:val="32"/>
          <w:szCs w:val="32"/>
        </w:rPr>
      </w:pPr>
      <w:r>
        <w:rPr>
          <w:rFonts w:hint="eastAsia" w:ascii="仿宋" w:hAnsi="仿宋" w:eastAsia="仿宋" w:cs="仿宋_GB2312"/>
          <w:color w:val="000000"/>
          <w:kern w:val="2"/>
          <w:sz w:val="32"/>
          <w:szCs w:val="32"/>
        </w:rPr>
        <w:t>中南财经政法大学研究生会</w:t>
      </w:r>
    </w:p>
    <w:p w14:paraId="3CCC824A">
      <w:pPr>
        <w:pStyle w:val="13"/>
        <w:wordWrap/>
        <w:adjustRightInd w:val="0"/>
        <w:spacing w:after="0" w:afterLines="-2147483648" w:line="240" w:lineRule="auto"/>
        <w:ind w:right="105" w:rightChars="50"/>
        <w:jc w:val="right"/>
        <w:rPr>
          <w:rFonts w:ascii="仿宋" w:hAnsi="仿宋" w:eastAsia="仿宋"/>
          <w:b/>
          <w:color w:val="000000"/>
          <w:sz w:val="28"/>
          <w:szCs w:val="28"/>
        </w:rPr>
      </w:pPr>
      <w:r>
        <w:rPr>
          <w:rFonts w:ascii="Times New Roman Regular" w:hAnsi="Times New Roman Regular" w:eastAsia="仿宋" w:cs="Times New Roman Regular"/>
          <w:color w:val="000000"/>
          <w:kern w:val="2"/>
          <w:sz w:val="32"/>
          <w:szCs w:val="32"/>
        </w:rPr>
        <w:t>2026</w:t>
      </w:r>
      <w:r>
        <w:rPr>
          <w:rFonts w:hint="eastAsia" w:ascii="仿宋" w:hAnsi="仿宋" w:eastAsia="仿宋" w:cs="仿宋_GB2312"/>
          <w:color w:val="000000"/>
          <w:kern w:val="2"/>
          <w:sz w:val="32"/>
          <w:szCs w:val="32"/>
        </w:rPr>
        <w:t>年</w:t>
      </w:r>
      <w:r>
        <w:rPr>
          <w:rFonts w:ascii="Times New Roman Regular" w:hAnsi="Times New Roman Regular" w:eastAsia="仿宋" w:cs="Times New Roman Regular"/>
          <w:color w:val="000000"/>
          <w:kern w:val="2"/>
          <w:sz w:val="32"/>
          <w:szCs w:val="32"/>
        </w:rPr>
        <w:t>4</w:t>
      </w:r>
      <w:r>
        <w:rPr>
          <w:rFonts w:hint="eastAsia" w:ascii="仿宋" w:hAnsi="仿宋" w:eastAsia="仿宋" w:cs="仿宋_GB2312"/>
          <w:color w:val="000000"/>
          <w:kern w:val="2"/>
          <w:sz w:val="32"/>
          <w:szCs w:val="32"/>
        </w:rPr>
        <w:t>月</w:t>
      </w:r>
      <w:r>
        <w:rPr>
          <w:rFonts w:hint="eastAsia" w:ascii="Times New Roman Regular" w:hAnsi="Times New Roman Regular" w:eastAsia="仿宋" w:cs="Times New Roman Regular"/>
          <w:color w:val="000000"/>
          <w:kern w:val="2"/>
          <w:sz w:val="32"/>
          <w:szCs w:val="32"/>
          <w:lang w:val="en-US" w:eastAsia="zh-CN"/>
        </w:rPr>
        <w:t>30</w:t>
      </w:r>
      <w:bookmarkStart w:id="0" w:name="_GoBack"/>
      <w:bookmarkEnd w:id="0"/>
      <w:r>
        <w:rPr>
          <w:rFonts w:hint="eastAsia" w:ascii="仿宋" w:hAnsi="仿宋" w:eastAsia="仿宋" w:cs="仿宋_GB2312"/>
          <w:color w:val="000000"/>
          <w:kern w:val="2"/>
          <w:sz w:val="32"/>
          <w:szCs w:val="32"/>
        </w:rPr>
        <w:t>日</w:t>
      </w:r>
      <w:r>
        <w:rPr>
          <w:rFonts w:hint="eastAsia" w:ascii="仿宋_GB2312" w:hAnsi="仿宋_GB2312" w:eastAsia="仿宋_GB2312" w:cs="仿宋_GB2312"/>
          <w:bCs/>
          <w:color w:val="000000"/>
          <w:sz w:val="28"/>
          <w:szCs w:val="28"/>
        </w:rPr>
        <w:br w:type="page"/>
      </w:r>
      <w:r>
        <w:rPr>
          <w:rFonts w:ascii="Times New Roman Regular" w:hAnsi="Times New Roman Regular" w:eastAsia="仿宋" w:cs="Times New Roman Regular"/>
          <w:b/>
          <w:color w:val="000000"/>
          <w:spacing w:val="2"/>
          <w:w w:val="100"/>
          <w:kern w:val="0"/>
          <w:sz w:val="32"/>
          <w:szCs w:val="32"/>
          <w:fitText w:val="8320" w:id="-7364984"/>
        </w:rPr>
        <w:t>2025</w:t>
      </w:r>
      <w:r>
        <w:rPr>
          <w:rFonts w:hint="eastAsia" w:ascii="Times New Roman Regular" w:hAnsi="Times New Roman Regular" w:eastAsia="仿宋" w:cs="Times New Roman Regular"/>
          <w:b/>
          <w:color w:val="000000"/>
          <w:spacing w:val="2"/>
          <w:w w:val="100"/>
          <w:kern w:val="0"/>
          <w:sz w:val="32"/>
          <w:szCs w:val="32"/>
          <w:fitText w:val="8320" w:id="-7364984"/>
          <w:lang w:val="en-US" w:eastAsia="zh-CN"/>
        </w:rPr>
        <w:t>-</w:t>
      </w:r>
      <w:r>
        <w:rPr>
          <w:rFonts w:ascii="Times New Roman Regular" w:hAnsi="Times New Roman Regular" w:eastAsia="仿宋" w:cs="Times New Roman Regular"/>
          <w:b/>
          <w:color w:val="000000"/>
          <w:spacing w:val="2"/>
          <w:w w:val="100"/>
          <w:kern w:val="0"/>
          <w:sz w:val="32"/>
          <w:szCs w:val="32"/>
          <w:fitText w:val="8320" w:id="-7364984"/>
        </w:rPr>
        <w:t>2026</w:t>
      </w:r>
      <w:r>
        <w:rPr>
          <w:rFonts w:hint="eastAsia" w:ascii="仿宋" w:hAnsi="仿宋" w:eastAsia="仿宋"/>
          <w:b/>
          <w:color w:val="000000"/>
          <w:spacing w:val="2"/>
          <w:w w:val="100"/>
          <w:kern w:val="0"/>
          <w:sz w:val="32"/>
          <w:szCs w:val="32"/>
          <w:fitText w:val="8320" w:id="-7364984"/>
        </w:rPr>
        <w:t>学年研究生综合表彰“权益服务单项奖”申报</w:t>
      </w:r>
      <w:r>
        <w:rPr>
          <w:rFonts w:hint="eastAsia" w:ascii="仿宋" w:hAnsi="仿宋" w:eastAsia="仿宋"/>
          <w:b/>
          <w:color w:val="000000"/>
          <w:spacing w:val="17"/>
          <w:w w:val="100"/>
          <w:kern w:val="0"/>
          <w:sz w:val="32"/>
          <w:szCs w:val="32"/>
          <w:fitText w:val="8320" w:id="-7364984"/>
        </w:rPr>
        <w:t>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898"/>
        <w:gridCol w:w="838"/>
        <w:gridCol w:w="1995"/>
        <w:gridCol w:w="2040"/>
        <w:gridCol w:w="1842"/>
      </w:tblGrid>
      <w:tr w14:paraId="25055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1800" w:type="dxa"/>
            <w:gridSpan w:val="2"/>
            <w:vAlign w:val="center"/>
          </w:tcPr>
          <w:p w14:paraId="03F64697">
            <w:pPr>
              <w:spacing w:line="460" w:lineRule="exact"/>
              <w:rPr>
                <w:rFonts w:ascii="仿宋_GB2312" w:hAnsi="仿宋" w:eastAsia="仿宋_GB2312"/>
                <w:color w:val="000000"/>
                <w:sz w:val="24"/>
              </w:rPr>
            </w:pPr>
            <w:r>
              <w:rPr>
                <w:rFonts w:hint="eastAsia" w:ascii="仿宋_GB2312" w:hAnsi="仿宋" w:eastAsia="仿宋_GB2312"/>
                <w:color w:val="000000"/>
                <w:sz w:val="24"/>
              </w:rPr>
              <w:t>研究生会名称</w:t>
            </w:r>
          </w:p>
        </w:tc>
        <w:tc>
          <w:tcPr>
            <w:tcW w:w="6715" w:type="dxa"/>
            <w:gridSpan w:val="4"/>
            <w:vAlign w:val="center"/>
          </w:tcPr>
          <w:p w14:paraId="0394DADA">
            <w:pPr>
              <w:spacing w:line="460" w:lineRule="exact"/>
              <w:rPr>
                <w:rFonts w:ascii="仿宋_GB2312" w:hAnsi="仿宋" w:eastAsia="仿宋_GB2312"/>
                <w:color w:val="000000"/>
                <w:sz w:val="24"/>
              </w:rPr>
            </w:pPr>
          </w:p>
        </w:tc>
      </w:tr>
      <w:tr w14:paraId="3406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02" w:type="dxa"/>
            <w:vMerge w:val="restart"/>
            <w:textDirection w:val="tbRlV"/>
            <w:vAlign w:val="center"/>
          </w:tcPr>
          <w:p w14:paraId="22957A0C">
            <w:pPr>
              <w:spacing w:line="460" w:lineRule="exact"/>
              <w:ind w:left="113" w:right="113"/>
              <w:jc w:val="center"/>
              <w:rPr>
                <w:rFonts w:ascii="仿宋_GB2312" w:hAnsi="仿宋" w:eastAsia="仿宋_GB2312"/>
                <w:color w:val="000000"/>
                <w:sz w:val="24"/>
              </w:rPr>
            </w:pPr>
            <w:r>
              <w:rPr>
                <w:rFonts w:hint="eastAsia" w:ascii="仿宋_GB2312" w:hAnsi="仿宋" w:eastAsia="仿宋_GB2312"/>
                <w:color w:val="000000"/>
                <w:sz w:val="24"/>
              </w:rPr>
              <w:t>基本情况</w:t>
            </w:r>
          </w:p>
        </w:tc>
        <w:tc>
          <w:tcPr>
            <w:tcW w:w="1736" w:type="dxa"/>
            <w:gridSpan w:val="2"/>
            <w:tcBorders>
              <w:top w:val="single" w:color="auto" w:sz="4" w:space="0"/>
            </w:tcBorders>
            <w:vAlign w:val="center"/>
          </w:tcPr>
          <w:p w14:paraId="3B3FC507">
            <w:pPr>
              <w:spacing w:line="460" w:lineRule="exact"/>
              <w:jc w:val="center"/>
              <w:rPr>
                <w:rFonts w:ascii="仿宋_GB2312" w:hAnsi="仿宋" w:eastAsia="仿宋_GB2312"/>
                <w:color w:val="000000"/>
                <w:sz w:val="24"/>
              </w:rPr>
            </w:pPr>
            <w:r>
              <w:rPr>
                <w:rFonts w:hint="eastAsia" w:ascii="仿宋_GB2312" w:hAnsi="仿宋" w:eastAsia="仿宋_GB2312"/>
                <w:color w:val="000000"/>
                <w:sz w:val="24"/>
              </w:rPr>
              <w:t>有效提案数量</w:t>
            </w:r>
          </w:p>
        </w:tc>
        <w:tc>
          <w:tcPr>
            <w:tcW w:w="1995" w:type="dxa"/>
            <w:tcBorders>
              <w:top w:val="single" w:color="auto" w:sz="4" w:space="0"/>
            </w:tcBorders>
          </w:tcPr>
          <w:p w14:paraId="439836CF">
            <w:pPr>
              <w:spacing w:line="460" w:lineRule="exact"/>
              <w:rPr>
                <w:rFonts w:ascii="仿宋_GB2312" w:hAnsi="仿宋" w:eastAsia="仿宋_GB2312"/>
                <w:color w:val="000000"/>
                <w:sz w:val="24"/>
              </w:rPr>
            </w:pPr>
          </w:p>
        </w:tc>
        <w:tc>
          <w:tcPr>
            <w:tcW w:w="2040" w:type="dxa"/>
            <w:tcBorders>
              <w:top w:val="single" w:color="auto" w:sz="4" w:space="0"/>
            </w:tcBorders>
            <w:vAlign w:val="center"/>
          </w:tcPr>
          <w:p w14:paraId="336E64C6">
            <w:pPr>
              <w:spacing w:line="460" w:lineRule="exact"/>
              <w:jc w:val="center"/>
              <w:rPr>
                <w:rFonts w:ascii="仿宋_GB2312" w:hAnsi="仿宋" w:eastAsia="仿宋_GB2312"/>
                <w:color w:val="000000"/>
                <w:sz w:val="24"/>
              </w:rPr>
            </w:pPr>
            <w:r>
              <w:rPr>
                <w:rFonts w:hint="eastAsia" w:ascii="仿宋_GB2312" w:hAnsi="仿宋" w:eastAsia="仿宋_GB2312"/>
                <w:color w:val="000000"/>
                <w:sz w:val="24"/>
              </w:rPr>
              <w:t>已解决提案数量</w:t>
            </w:r>
          </w:p>
        </w:tc>
        <w:tc>
          <w:tcPr>
            <w:tcW w:w="1842" w:type="dxa"/>
            <w:tcBorders>
              <w:top w:val="single" w:color="auto" w:sz="4" w:space="0"/>
            </w:tcBorders>
          </w:tcPr>
          <w:p w14:paraId="7674D3AB">
            <w:pPr>
              <w:spacing w:line="460" w:lineRule="exact"/>
              <w:rPr>
                <w:rFonts w:ascii="仿宋_GB2312" w:hAnsi="仿宋" w:eastAsia="仿宋_GB2312"/>
                <w:color w:val="000000"/>
                <w:sz w:val="24"/>
              </w:rPr>
            </w:pPr>
          </w:p>
        </w:tc>
      </w:tr>
      <w:tr w14:paraId="6F14A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902" w:type="dxa"/>
            <w:vMerge w:val="continue"/>
          </w:tcPr>
          <w:p w14:paraId="5BC2813E">
            <w:pPr>
              <w:spacing w:line="460" w:lineRule="exact"/>
              <w:rPr>
                <w:rFonts w:ascii="仿宋_GB2312" w:hAnsi="仿宋" w:eastAsia="仿宋_GB2312"/>
                <w:color w:val="000000"/>
                <w:sz w:val="24"/>
              </w:rPr>
            </w:pPr>
          </w:p>
        </w:tc>
        <w:tc>
          <w:tcPr>
            <w:tcW w:w="1736" w:type="dxa"/>
            <w:gridSpan w:val="2"/>
            <w:vAlign w:val="center"/>
          </w:tcPr>
          <w:p w14:paraId="54BE8A97">
            <w:pPr>
              <w:spacing w:line="460" w:lineRule="exact"/>
              <w:rPr>
                <w:rFonts w:ascii="仿宋_GB2312" w:hAnsi="仿宋" w:eastAsia="仿宋_GB2312"/>
                <w:color w:val="000000"/>
                <w:sz w:val="24"/>
              </w:rPr>
            </w:pPr>
            <w:r>
              <w:rPr>
                <w:rFonts w:hint="eastAsia" w:ascii="仿宋_GB2312" w:hAnsi="仿宋" w:eastAsia="仿宋_GB2312"/>
                <w:color w:val="000000"/>
                <w:sz w:val="24"/>
              </w:rPr>
              <w:t>座谈会负责人</w:t>
            </w:r>
          </w:p>
        </w:tc>
        <w:tc>
          <w:tcPr>
            <w:tcW w:w="1995" w:type="dxa"/>
          </w:tcPr>
          <w:p w14:paraId="3BE4259F">
            <w:pPr>
              <w:spacing w:line="460" w:lineRule="exact"/>
              <w:rPr>
                <w:rFonts w:ascii="仿宋_GB2312" w:hAnsi="仿宋" w:eastAsia="仿宋_GB2312"/>
                <w:color w:val="000000"/>
                <w:sz w:val="24"/>
              </w:rPr>
            </w:pPr>
          </w:p>
        </w:tc>
        <w:tc>
          <w:tcPr>
            <w:tcW w:w="2040" w:type="dxa"/>
            <w:vAlign w:val="center"/>
          </w:tcPr>
          <w:p w14:paraId="3087508A">
            <w:pPr>
              <w:spacing w:line="460" w:lineRule="exact"/>
              <w:jc w:val="center"/>
              <w:rPr>
                <w:rFonts w:ascii="仿宋_GB2312" w:hAnsi="仿宋" w:eastAsia="仿宋_GB2312"/>
                <w:color w:val="000000"/>
                <w:sz w:val="24"/>
              </w:rPr>
            </w:pPr>
            <w:r>
              <w:rPr>
                <w:rFonts w:hint="eastAsia" w:ascii="仿宋_GB2312" w:hAnsi="仿宋" w:eastAsia="仿宋_GB2312"/>
                <w:color w:val="000000"/>
                <w:sz w:val="24"/>
              </w:rPr>
              <w:t>联系方式</w:t>
            </w:r>
          </w:p>
        </w:tc>
        <w:tc>
          <w:tcPr>
            <w:tcW w:w="1842" w:type="dxa"/>
          </w:tcPr>
          <w:p w14:paraId="284D939D">
            <w:pPr>
              <w:spacing w:line="460" w:lineRule="exact"/>
              <w:rPr>
                <w:rFonts w:ascii="仿宋_GB2312" w:hAnsi="仿宋" w:eastAsia="仿宋_GB2312"/>
                <w:color w:val="000000"/>
                <w:sz w:val="24"/>
              </w:rPr>
            </w:pPr>
          </w:p>
        </w:tc>
      </w:tr>
      <w:tr w14:paraId="5B6C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2" w:hRule="atLeast"/>
          <w:jc w:val="center"/>
        </w:trPr>
        <w:tc>
          <w:tcPr>
            <w:tcW w:w="902" w:type="dxa"/>
            <w:textDirection w:val="tbRlV"/>
            <w:vAlign w:val="center"/>
          </w:tcPr>
          <w:p w14:paraId="5B1E6381">
            <w:pPr>
              <w:spacing w:line="460" w:lineRule="exact"/>
              <w:ind w:left="113" w:leftChars="54" w:right="113" w:firstLine="120" w:firstLineChars="50"/>
              <w:jc w:val="center"/>
              <w:rPr>
                <w:rFonts w:ascii="仿宋_GB2312" w:hAnsi="仿宋" w:eastAsia="仿宋_GB2312"/>
                <w:color w:val="000000"/>
                <w:sz w:val="24"/>
              </w:rPr>
            </w:pPr>
            <w:r>
              <w:rPr>
                <w:rFonts w:hint="eastAsia" w:ascii="仿宋_GB2312" w:hAnsi="仿宋" w:eastAsia="仿宋_GB2312"/>
                <w:color w:val="000000"/>
                <w:sz w:val="24"/>
              </w:rPr>
              <w:t>提案反馈情况</w:t>
            </w:r>
          </w:p>
        </w:tc>
        <w:tc>
          <w:tcPr>
            <w:tcW w:w="7613" w:type="dxa"/>
            <w:gridSpan w:val="5"/>
            <w:vAlign w:val="center"/>
          </w:tcPr>
          <w:p w14:paraId="331B879F">
            <w:pPr>
              <w:spacing w:line="460" w:lineRule="exact"/>
              <w:jc w:val="center"/>
              <w:rPr>
                <w:rFonts w:ascii="仿宋_GB2312" w:hAnsi="仿宋" w:eastAsia="仿宋_GB2312"/>
                <w:b/>
                <w:color w:val="000000"/>
                <w:sz w:val="24"/>
              </w:rPr>
            </w:pPr>
          </w:p>
          <w:p w14:paraId="7485786A">
            <w:pPr>
              <w:spacing w:line="460" w:lineRule="exact"/>
              <w:jc w:val="center"/>
              <w:rPr>
                <w:rFonts w:ascii="仿宋_GB2312" w:hAnsi="仿宋" w:eastAsia="仿宋_GB2312"/>
                <w:b/>
                <w:color w:val="000000"/>
                <w:sz w:val="24"/>
              </w:rPr>
            </w:pPr>
          </w:p>
          <w:p w14:paraId="2D63D85B">
            <w:pPr>
              <w:spacing w:line="460" w:lineRule="exact"/>
              <w:ind w:firstLine="3614" w:firstLineChars="1500"/>
              <w:jc w:val="center"/>
              <w:rPr>
                <w:rFonts w:ascii="仿宋_GB2312" w:hAnsi="仿宋" w:eastAsia="仿宋_GB2312"/>
                <w:b/>
                <w:color w:val="000000"/>
                <w:sz w:val="24"/>
              </w:rPr>
            </w:pPr>
          </w:p>
        </w:tc>
      </w:tr>
      <w:tr w14:paraId="15CD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0" w:hRule="atLeast"/>
          <w:jc w:val="center"/>
        </w:trPr>
        <w:tc>
          <w:tcPr>
            <w:tcW w:w="902" w:type="dxa"/>
            <w:textDirection w:val="tbRlV"/>
            <w:vAlign w:val="center"/>
          </w:tcPr>
          <w:p w14:paraId="22D43716">
            <w:pPr>
              <w:spacing w:line="460" w:lineRule="exact"/>
              <w:ind w:left="113" w:leftChars="54" w:right="113" w:firstLine="120" w:firstLineChars="50"/>
              <w:jc w:val="center"/>
              <w:rPr>
                <w:rFonts w:ascii="仿宋_GB2312" w:hAnsi="仿宋" w:eastAsia="仿宋_GB2312"/>
                <w:color w:val="000000"/>
                <w:sz w:val="24"/>
              </w:rPr>
            </w:pPr>
            <w:r>
              <w:rPr>
                <w:rFonts w:hint="eastAsia" w:ascii="仿宋_GB2312" w:hAnsi="仿宋" w:eastAsia="仿宋_GB2312"/>
                <w:color w:val="000000"/>
                <w:sz w:val="24"/>
              </w:rPr>
              <w:t>活动情况</w:t>
            </w:r>
          </w:p>
        </w:tc>
        <w:tc>
          <w:tcPr>
            <w:tcW w:w="7613" w:type="dxa"/>
            <w:gridSpan w:val="5"/>
            <w:vAlign w:val="center"/>
          </w:tcPr>
          <w:p w14:paraId="251714B7">
            <w:pPr>
              <w:spacing w:line="460" w:lineRule="exact"/>
              <w:jc w:val="center"/>
              <w:rPr>
                <w:rFonts w:ascii="仿宋_GB2312" w:hAnsi="仿宋" w:eastAsia="仿宋_GB2312"/>
                <w:b/>
                <w:color w:val="000000"/>
                <w:sz w:val="24"/>
              </w:rPr>
            </w:pPr>
          </w:p>
          <w:p w14:paraId="1FC4F030">
            <w:pPr>
              <w:spacing w:line="460" w:lineRule="exact"/>
              <w:rPr>
                <w:rFonts w:ascii="仿宋_GB2312" w:hAnsi="仿宋" w:eastAsia="仿宋_GB2312"/>
                <w:b/>
                <w:color w:val="000000"/>
                <w:sz w:val="24"/>
              </w:rPr>
            </w:pPr>
          </w:p>
          <w:p w14:paraId="0DD5F8AB">
            <w:pPr>
              <w:spacing w:line="460" w:lineRule="exact"/>
              <w:rPr>
                <w:rFonts w:ascii="仿宋_GB2312" w:hAnsi="仿宋" w:eastAsia="仿宋_GB2312"/>
                <w:b/>
                <w:color w:val="000000"/>
                <w:sz w:val="24"/>
              </w:rPr>
            </w:pPr>
          </w:p>
        </w:tc>
      </w:tr>
      <w:tr w14:paraId="490B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0" w:hRule="atLeast"/>
          <w:jc w:val="center"/>
        </w:trPr>
        <w:tc>
          <w:tcPr>
            <w:tcW w:w="902" w:type="dxa"/>
            <w:textDirection w:val="tbRlV"/>
            <w:vAlign w:val="center"/>
          </w:tcPr>
          <w:p w14:paraId="03528CAE">
            <w:pPr>
              <w:spacing w:line="460" w:lineRule="exact"/>
              <w:ind w:left="113" w:leftChars="54" w:right="113" w:firstLine="120" w:firstLineChars="50"/>
              <w:jc w:val="center"/>
              <w:rPr>
                <w:rFonts w:ascii="仿宋_GB2312" w:hAnsi="仿宋" w:eastAsia="仿宋_GB2312"/>
                <w:color w:val="000000"/>
                <w:sz w:val="24"/>
              </w:rPr>
            </w:pPr>
            <w:r>
              <w:rPr>
                <w:rFonts w:hint="eastAsia" w:ascii="仿宋_GB2312" w:hAnsi="仿宋" w:eastAsia="仿宋_GB2312"/>
                <w:color w:val="000000"/>
                <w:sz w:val="24"/>
              </w:rPr>
              <w:t>服务贡献概述</w:t>
            </w:r>
          </w:p>
        </w:tc>
        <w:tc>
          <w:tcPr>
            <w:tcW w:w="7613" w:type="dxa"/>
            <w:gridSpan w:val="5"/>
            <w:vAlign w:val="center"/>
          </w:tcPr>
          <w:p w14:paraId="5B19BBFB">
            <w:pPr>
              <w:spacing w:line="460" w:lineRule="exact"/>
              <w:jc w:val="center"/>
              <w:rPr>
                <w:rFonts w:ascii="仿宋_GB2312" w:hAnsi="仿宋" w:eastAsia="仿宋_GB2312"/>
                <w:b/>
                <w:color w:val="000000"/>
                <w:sz w:val="24"/>
              </w:rPr>
            </w:pPr>
          </w:p>
          <w:p w14:paraId="7DD7A150">
            <w:pPr>
              <w:spacing w:line="460" w:lineRule="exact"/>
              <w:jc w:val="center"/>
              <w:rPr>
                <w:rFonts w:ascii="仿宋_GB2312" w:hAnsi="仿宋" w:eastAsia="仿宋_GB2312"/>
                <w:b/>
                <w:color w:val="000000"/>
                <w:sz w:val="24"/>
              </w:rPr>
            </w:pPr>
          </w:p>
          <w:p w14:paraId="092D4398">
            <w:pPr>
              <w:spacing w:line="460" w:lineRule="exact"/>
              <w:ind w:firstLine="3614" w:firstLineChars="1500"/>
              <w:jc w:val="center"/>
              <w:rPr>
                <w:rFonts w:ascii="仿宋_GB2312" w:hAnsi="仿宋" w:eastAsia="仿宋_GB2312"/>
                <w:b/>
                <w:color w:val="000000"/>
                <w:sz w:val="24"/>
              </w:rPr>
            </w:pPr>
          </w:p>
        </w:tc>
      </w:tr>
      <w:tr w14:paraId="04B0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2" w:hRule="atLeast"/>
          <w:jc w:val="center"/>
        </w:trPr>
        <w:tc>
          <w:tcPr>
            <w:tcW w:w="902" w:type="dxa"/>
            <w:textDirection w:val="tbRlV"/>
            <w:vAlign w:val="center"/>
          </w:tcPr>
          <w:p w14:paraId="76650381">
            <w:pPr>
              <w:spacing w:line="460" w:lineRule="exact"/>
              <w:ind w:left="113" w:leftChars="54" w:right="113" w:firstLine="120" w:firstLineChars="50"/>
              <w:jc w:val="center"/>
              <w:rPr>
                <w:rFonts w:ascii="仿宋_GB2312" w:hAnsi="仿宋" w:eastAsia="仿宋_GB2312"/>
                <w:color w:val="000000"/>
                <w:sz w:val="24"/>
              </w:rPr>
            </w:pPr>
            <w:r>
              <w:rPr>
                <w:rFonts w:hint="eastAsia" w:ascii="仿宋_GB2312" w:hAnsi="仿宋" w:eastAsia="仿宋_GB2312"/>
                <w:color w:val="000000"/>
                <w:sz w:val="24"/>
              </w:rPr>
              <w:t>学院意见</w:t>
            </w:r>
          </w:p>
        </w:tc>
        <w:tc>
          <w:tcPr>
            <w:tcW w:w="7613" w:type="dxa"/>
            <w:gridSpan w:val="5"/>
            <w:vAlign w:val="center"/>
          </w:tcPr>
          <w:p w14:paraId="5A446944">
            <w:pPr>
              <w:spacing w:line="460" w:lineRule="exact"/>
              <w:jc w:val="center"/>
              <w:rPr>
                <w:rFonts w:ascii="仿宋_GB2312" w:hAnsi="仿宋" w:eastAsia="仿宋_GB2312"/>
                <w:b/>
                <w:color w:val="000000"/>
                <w:sz w:val="24"/>
              </w:rPr>
            </w:pPr>
          </w:p>
          <w:p w14:paraId="481C3FE1">
            <w:pPr>
              <w:spacing w:line="460" w:lineRule="exact"/>
              <w:jc w:val="center"/>
              <w:rPr>
                <w:rFonts w:ascii="仿宋_GB2312" w:hAnsi="仿宋" w:eastAsia="仿宋_GB2312"/>
                <w:b/>
                <w:color w:val="000000"/>
                <w:sz w:val="24"/>
              </w:rPr>
            </w:pPr>
          </w:p>
          <w:p w14:paraId="2030E814">
            <w:pPr>
              <w:spacing w:line="460" w:lineRule="exact"/>
              <w:ind w:firstLine="4200" w:firstLineChars="1750"/>
              <w:rPr>
                <w:rFonts w:ascii="仿宋_GB2312" w:hAnsi="仿宋" w:eastAsia="仿宋_GB2312"/>
                <w:color w:val="000000"/>
                <w:sz w:val="24"/>
              </w:rPr>
            </w:pPr>
            <w:r>
              <w:rPr>
                <w:rFonts w:hint="eastAsia" w:ascii="仿宋_GB2312" w:hAnsi="仿宋" w:eastAsia="仿宋_GB2312"/>
                <w:color w:val="000000"/>
                <w:sz w:val="24"/>
              </w:rPr>
              <w:t>（签章）</w:t>
            </w:r>
          </w:p>
          <w:p w14:paraId="494E05F3">
            <w:pPr>
              <w:spacing w:line="460" w:lineRule="exact"/>
              <w:ind w:firstLine="3600" w:firstLineChars="1500"/>
              <w:jc w:val="center"/>
              <w:rPr>
                <w:rFonts w:ascii="仿宋_GB2312" w:hAnsi="仿宋" w:eastAsia="仿宋_GB2312"/>
                <w:b/>
                <w:color w:val="000000"/>
                <w:sz w:val="24"/>
              </w:rPr>
            </w:pPr>
            <w:r>
              <w:rPr>
                <w:rFonts w:hint="eastAsia" w:ascii="仿宋_GB2312" w:hAnsi="仿宋" w:eastAsia="仿宋_GB2312"/>
                <w:color w:val="000000"/>
                <w:sz w:val="24"/>
              </w:rPr>
              <w:t>年  月  日</w:t>
            </w:r>
          </w:p>
        </w:tc>
      </w:tr>
      <w:tr w14:paraId="1181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3" w:hRule="atLeast"/>
          <w:jc w:val="center"/>
        </w:trPr>
        <w:tc>
          <w:tcPr>
            <w:tcW w:w="902" w:type="dxa"/>
            <w:textDirection w:val="tbRlV"/>
            <w:vAlign w:val="center"/>
          </w:tcPr>
          <w:p w14:paraId="49F2A02A">
            <w:pPr>
              <w:spacing w:line="460" w:lineRule="exact"/>
              <w:ind w:right="113"/>
              <w:jc w:val="center"/>
              <w:rPr>
                <w:rFonts w:ascii="仿宋_GB2312" w:hAnsi="仿宋" w:eastAsia="仿宋_GB2312"/>
                <w:color w:val="000000"/>
                <w:sz w:val="24"/>
              </w:rPr>
            </w:pPr>
            <w:r>
              <w:rPr>
                <w:rFonts w:hint="eastAsia" w:ascii="仿宋_GB2312" w:hAnsi="仿宋" w:eastAsia="仿宋_GB2312"/>
                <w:color w:val="000000"/>
                <w:sz w:val="24"/>
              </w:rPr>
              <w:t>党委研工部意见</w:t>
            </w:r>
          </w:p>
        </w:tc>
        <w:tc>
          <w:tcPr>
            <w:tcW w:w="7613" w:type="dxa"/>
            <w:gridSpan w:val="5"/>
            <w:vAlign w:val="center"/>
          </w:tcPr>
          <w:p w14:paraId="3CCF9608">
            <w:pPr>
              <w:spacing w:line="460" w:lineRule="exact"/>
              <w:jc w:val="center"/>
              <w:rPr>
                <w:rFonts w:ascii="仿宋_GB2312" w:hAnsi="仿宋" w:eastAsia="仿宋_GB2312"/>
                <w:color w:val="000000"/>
                <w:sz w:val="24"/>
              </w:rPr>
            </w:pPr>
          </w:p>
          <w:p w14:paraId="319C6FCE">
            <w:pPr>
              <w:spacing w:line="460" w:lineRule="exact"/>
              <w:jc w:val="center"/>
              <w:rPr>
                <w:rFonts w:ascii="仿宋_GB2312" w:hAnsi="仿宋" w:eastAsia="仿宋_GB2312"/>
                <w:color w:val="000000"/>
                <w:sz w:val="24"/>
              </w:rPr>
            </w:pPr>
          </w:p>
          <w:p w14:paraId="1ABE9FDC">
            <w:pPr>
              <w:spacing w:line="460" w:lineRule="exact"/>
              <w:ind w:right="480" w:firstLine="4200" w:firstLineChars="1750"/>
              <w:rPr>
                <w:rFonts w:ascii="仿宋_GB2312" w:hAnsi="仿宋" w:eastAsia="仿宋_GB2312"/>
                <w:color w:val="000000"/>
                <w:sz w:val="24"/>
              </w:rPr>
            </w:pPr>
            <w:r>
              <w:rPr>
                <w:rFonts w:hint="eastAsia" w:ascii="仿宋_GB2312" w:hAnsi="仿宋" w:eastAsia="仿宋_GB2312"/>
                <w:color w:val="000000"/>
                <w:sz w:val="24"/>
              </w:rPr>
              <w:t>（签章）</w:t>
            </w:r>
          </w:p>
          <w:p w14:paraId="4A1C40E1">
            <w:pPr>
              <w:spacing w:line="460" w:lineRule="exact"/>
              <w:ind w:right="480" w:firstLine="3600" w:firstLineChars="1500"/>
              <w:jc w:val="center"/>
              <w:rPr>
                <w:rFonts w:ascii="仿宋_GB2312" w:hAnsi="仿宋" w:eastAsia="仿宋_GB2312"/>
                <w:b/>
                <w:color w:val="000000"/>
                <w:sz w:val="24"/>
              </w:rPr>
            </w:pPr>
            <w:r>
              <w:rPr>
                <w:rFonts w:hint="eastAsia" w:ascii="仿宋_GB2312" w:hAnsi="仿宋" w:eastAsia="仿宋_GB2312"/>
                <w:color w:val="000000"/>
                <w:sz w:val="24"/>
              </w:rPr>
              <w:t>年  月  日</w:t>
            </w:r>
          </w:p>
        </w:tc>
      </w:tr>
      <w:tr w14:paraId="2F43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902" w:type="dxa"/>
            <w:textDirection w:val="tbRlV"/>
            <w:vAlign w:val="center"/>
          </w:tcPr>
          <w:p w14:paraId="1DE50AEF">
            <w:pPr>
              <w:spacing w:line="460" w:lineRule="exact"/>
              <w:ind w:left="0" w:right="0"/>
              <w:jc w:val="center"/>
              <w:rPr>
                <w:rFonts w:ascii="仿宋_GB2312" w:hAnsi="仿宋" w:eastAsia="仿宋_GB2312"/>
                <w:color w:val="000000"/>
                <w:sz w:val="24"/>
              </w:rPr>
            </w:pPr>
            <w:r>
              <w:rPr>
                <w:rFonts w:hint="eastAsia" w:ascii="仿宋_GB2312" w:hAnsi="仿宋" w:eastAsia="仿宋_GB2312"/>
                <w:color w:val="000000"/>
                <w:sz w:val="24"/>
              </w:rPr>
              <w:t>备注</w:t>
            </w:r>
          </w:p>
        </w:tc>
        <w:tc>
          <w:tcPr>
            <w:tcW w:w="7613" w:type="dxa"/>
            <w:gridSpan w:val="5"/>
            <w:vAlign w:val="center"/>
          </w:tcPr>
          <w:p w14:paraId="1C453D68">
            <w:pPr>
              <w:spacing w:line="460" w:lineRule="exact"/>
              <w:jc w:val="center"/>
              <w:rPr>
                <w:rFonts w:ascii="仿宋_GB2312" w:hAnsi="仿宋" w:eastAsia="仿宋_GB2312"/>
                <w:b/>
                <w:color w:val="000000"/>
                <w:sz w:val="24"/>
              </w:rPr>
            </w:pPr>
          </w:p>
        </w:tc>
      </w:tr>
    </w:tbl>
    <w:p w14:paraId="64EE58B2">
      <w:pPr>
        <w:spacing w:line="360" w:lineRule="exact"/>
        <w:ind w:firstLine="0" w:firstLineChars="0"/>
        <w:rPr>
          <w:rFonts w:ascii="仿宋_GB2312" w:hAnsi="仿宋" w:eastAsia="仿宋_GB2312"/>
          <w:color w:val="000000"/>
          <w:szCs w:val="21"/>
        </w:rPr>
      </w:pPr>
      <w:r>
        <w:rPr>
          <w:rFonts w:hint="eastAsia" w:ascii="仿宋_GB2312" w:hAnsi="仿宋" w:eastAsia="仿宋_GB2312"/>
          <w:color w:val="000000"/>
          <w:szCs w:val="21"/>
        </w:rPr>
        <w:t>说明：</w:t>
      </w:r>
      <w:r>
        <w:rPr>
          <w:rFonts w:ascii="Times New Roman Regular" w:hAnsi="Times New Roman Regular" w:eastAsia="仿宋_GB2312" w:cs="Times New Roman Regular"/>
          <w:color w:val="000000"/>
          <w:szCs w:val="21"/>
        </w:rPr>
        <w:t>1</w:t>
      </w:r>
      <w:r>
        <w:rPr>
          <w:rFonts w:hint="eastAsia" w:ascii="仿宋_GB2312" w:hAnsi="仿宋" w:eastAsia="仿宋_GB2312"/>
          <w:color w:val="000000"/>
          <w:szCs w:val="21"/>
        </w:rPr>
        <w:t>.此表同其他申报材料一并上报。</w:t>
      </w:r>
      <w:r>
        <w:rPr>
          <w:rFonts w:ascii="Times New Roman Regular" w:hAnsi="Times New Roman Regular" w:eastAsia="仿宋_GB2312" w:cs="Times New Roman Regular"/>
          <w:color w:val="000000"/>
          <w:szCs w:val="21"/>
        </w:rPr>
        <w:t>2</w:t>
      </w:r>
      <w:r>
        <w:rPr>
          <w:rFonts w:hint="eastAsia" w:ascii="仿宋_GB2312" w:hAnsi="仿宋" w:eastAsia="仿宋_GB2312"/>
          <w:color w:val="000000"/>
          <w:szCs w:val="21"/>
        </w:rPr>
        <w:t>.此表可附页。</w:t>
      </w:r>
    </w:p>
    <w:p w14:paraId="0DD3B6E7">
      <w:pPr>
        <w:spacing w:line="360" w:lineRule="exact"/>
        <w:rPr>
          <w:rFonts w:ascii="仿宋_GB2312" w:hAnsi="仿宋" w:eastAsia="仿宋_GB2312"/>
          <w:color w:val="000000"/>
          <w:szCs w:val="21"/>
        </w:rPr>
      </w:pPr>
    </w:p>
    <w:p w14:paraId="125320EF">
      <w:pPr>
        <w:wordWrap w:val="0"/>
        <w:spacing w:line="360" w:lineRule="exact"/>
        <w:ind w:firstLine="1120" w:firstLineChars="400"/>
        <w:jc w:val="right"/>
        <w:rPr>
          <w:rFonts w:ascii="仿宋_GB2312" w:hAnsi="宋体" w:eastAsia="仿宋_GB2312"/>
          <w:bCs/>
          <w:color w:val="00000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0ZDhmMWUwNmI4YzM3ZTI4ZDU2YjZlNWY0OTYwOGEifQ=="/>
  </w:docVars>
  <w:rsids>
    <w:rsidRoot w:val="00172A27"/>
    <w:rsid w:val="00005CD1"/>
    <w:rsid w:val="0001774D"/>
    <w:rsid w:val="00042DA4"/>
    <w:rsid w:val="00043734"/>
    <w:rsid w:val="0006583B"/>
    <w:rsid w:val="00067072"/>
    <w:rsid w:val="000B5F9E"/>
    <w:rsid w:val="000E1E36"/>
    <w:rsid w:val="00107D5C"/>
    <w:rsid w:val="00110613"/>
    <w:rsid w:val="00116AFF"/>
    <w:rsid w:val="00120ACD"/>
    <w:rsid w:val="001230B0"/>
    <w:rsid w:val="001331F0"/>
    <w:rsid w:val="00152C5D"/>
    <w:rsid w:val="00166C2E"/>
    <w:rsid w:val="00172A27"/>
    <w:rsid w:val="00177A30"/>
    <w:rsid w:val="001A089B"/>
    <w:rsid w:val="001D2FC8"/>
    <w:rsid w:val="0020627F"/>
    <w:rsid w:val="0023288F"/>
    <w:rsid w:val="00252048"/>
    <w:rsid w:val="00256CF1"/>
    <w:rsid w:val="002754D4"/>
    <w:rsid w:val="0028780E"/>
    <w:rsid w:val="002D6A1F"/>
    <w:rsid w:val="002F34E9"/>
    <w:rsid w:val="002F3D17"/>
    <w:rsid w:val="00333634"/>
    <w:rsid w:val="00363169"/>
    <w:rsid w:val="003A2BE6"/>
    <w:rsid w:val="003A5100"/>
    <w:rsid w:val="003C2D2A"/>
    <w:rsid w:val="003D0570"/>
    <w:rsid w:val="004025EC"/>
    <w:rsid w:val="0042495C"/>
    <w:rsid w:val="00427E64"/>
    <w:rsid w:val="004329F3"/>
    <w:rsid w:val="0044277D"/>
    <w:rsid w:val="00446AA4"/>
    <w:rsid w:val="00454144"/>
    <w:rsid w:val="0045512C"/>
    <w:rsid w:val="0046030E"/>
    <w:rsid w:val="00460BE5"/>
    <w:rsid w:val="00473789"/>
    <w:rsid w:val="00484D88"/>
    <w:rsid w:val="004F1355"/>
    <w:rsid w:val="00524005"/>
    <w:rsid w:val="005332B4"/>
    <w:rsid w:val="005470E3"/>
    <w:rsid w:val="00555D2F"/>
    <w:rsid w:val="005719B9"/>
    <w:rsid w:val="005A558E"/>
    <w:rsid w:val="005C3208"/>
    <w:rsid w:val="00621946"/>
    <w:rsid w:val="00660900"/>
    <w:rsid w:val="0067588D"/>
    <w:rsid w:val="00683C34"/>
    <w:rsid w:val="00696C42"/>
    <w:rsid w:val="006C2D5D"/>
    <w:rsid w:val="006D22E0"/>
    <w:rsid w:val="006E0B87"/>
    <w:rsid w:val="006E7C1C"/>
    <w:rsid w:val="007023DD"/>
    <w:rsid w:val="00707D06"/>
    <w:rsid w:val="0073542D"/>
    <w:rsid w:val="007532C8"/>
    <w:rsid w:val="0075446E"/>
    <w:rsid w:val="007846FE"/>
    <w:rsid w:val="007A3D2A"/>
    <w:rsid w:val="007B1C50"/>
    <w:rsid w:val="007B65B4"/>
    <w:rsid w:val="007F0A18"/>
    <w:rsid w:val="00825ED9"/>
    <w:rsid w:val="00846F7B"/>
    <w:rsid w:val="0085395D"/>
    <w:rsid w:val="008578EF"/>
    <w:rsid w:val="009042E7"/>
    <w:rsid w:val="009450E4"/>
    <w:rsid w:val="00957021"/>
    <w:rsid w:val="00961864"/>
    <w:rsid w:val="00961DB8"/>
    <w:rsid w:val="009A6757"/>
    <w:rsid w:val="00A16E08"/>
    <w:rsid w:val="00A32EFD"/>
    <w:rsid w:val="00A51803"/>
    <w:rsid w:val="00A74EFB"/>
    <w:rsid w:val="00AB4A21"/>
    <w:rsid w:val="00B4130A"/>
    <w:rsid w:val="00B448F1"/>
    <w:rsid w:val="00B518B1"/>
    <w:rsid w:val="00B53950"/>
    <w:rsid w:val="00B610CE"/>
    <w:rsid w:val="00BD4B2D"/>
    <w:rsid w:val="00BE1845"/>
    <w:rsid w:val="00C34F7C"/>
    <w:rsid w:val="00C56F65"/>
    <w:rsid w:val="00C62161"/>
    <w:rsid w:val="00C76D5B"/>
    <w:rsid w:val="00CA4294"/>
    <w:rsid w:val="00CC4476"/>
    <w:rsid w:val="00CC5393"/>
    <w:rsid w:val="00CD23D4"/>
    <w:rsid w:val="00CE76DC"/>
    <w:rsid w:val="00D072CF"/>
    <w:rsid w:val="00D1224C"/>
    <w:rsid w:val="00D211EB"/>
    <w:rsid w:val="00D30FB0"/>
    <w:rsid w:val="00D5215D"/>
    <w:rsid w:val="00D67F28"/>
    <w:rsid w:val="00D90070"/>
    <w:rsid w:val="00DB6F44"/>
    <w:rsid w:val="00DC0FDA"/>
    <w:rsid w:val="00DD0FF3"/>
    <w:rsid w:val="00DF39AA"/>
    <w:rsid w:val="00DF3E23"/>
    <w:rsid w:val="00E02491"/>
    <w:rsid w:val="00E118BE"/>
    <w:rsid w:val="00E14652"/>
    <w:rsid w:val="00E44A60"/>
    <w:rsid w:val="00E5107D"/>
    <w:rsid w:val="00E63CC2"/>
    <w:rsid w:val="00E80C91"/>
    <w:rsid w:val="00E91439"/>
    <w:rsid w:val="00E9792F"/>
    <w:rsid w:val="00EA1B29"/>
    <w:rsid w:val="00EC1C54"/>
    <w:rsid w:val="00F04CE0"/>
    <w:rsid w:val="00F060AD"/>
    <w:rsid w:val="00F553AD"/>
    <w:rsid w:val="00F749BC"/>
    <w:rsid w:val="00FD2BEA"/>
    <w:rsid w:val="00FF005A"/>
    <w:rsid w:val="031A4532"/>
    <w:rsid w:val="03C41D0D"/>
    <w:rsid w:val="051300D2"/>
    <w:rsid w:val="074866CA"/>
    <w:rsid w:val="0A2D459A"/>
    <w:rsid w:val="0A4B3D78"/>
    <w:rsid w:val="0B972908"/>
    <w:rsid w:val="0C565719"/>
    <w:rsid w:val="132B6FA3"/>
    <w:rsid w:val="15EA49B9"/>
    <w:rsid w:val="164175B5"/>
    <w:rsid w:val="16E7599C"/>
    <w:rsid w:val="1861283B"/>
    <w:rsid w:val="1A133B64"/>
    <w:rsid w:val="1C3D253C"/>
    <w:rsid w:val="1CC21481"/>
    <w:rsid w:val="1D4862CB"/>
    <w:rsid w:val="1D751DD0"/>
    <w:rsid w:val="1DB77FBA"/>
    <w:rsid w:val="1E745D37"/>
    <w:rsid w:val="217E3C0F"/>
    <w:rsid w:val="22A623A4"/>
    <w:rsid w:val="22E7124A"/>
    <w:rsid w:val="24024C4F"/>
    <w:rsid w:val="253D39BB"/>
    <w:rsid w:val="25964F8E"/>
    <w:rsid w:val="261455E0"/>
    <w:rsid w:val="29C2439B"/>
    <w:rsid w:val="29F13E58"/>
    <w:rsid w:val="2AD1368B"/>
    <w:rsid w:val="2AFA5E6D"/>
    <w:rsid w:val="2C2D2218"/>
    <w:rsid w:val="2CA249FB"/>
    <w:rsid w:val="2E9B6C8E"/>
    <w:rsid w:val="2EB7423D"/>
    <w:rsid w:val="2F1A7140"/>
    <w:rsid w:val="32C049AD"/>
    <w:rsid w:val="33292510"/>
    <w:rsid w:val="33B9C9BF"/>
    <w:rsid w:val="369F210D"/>
    <w:rsid w:val="36C95F72"/>
    <w:rsid w:val="36E30A3F"/>
    <w:rsid w:val="3A5F1D80"/>
    <w:rsid w:val="3B914B4F"/>
    <w:rsid w:val="3C0A2DE9"/>
    <w:rsid w:val="3D0A15FC"/>
    <w:rsid w:val="3D1D66A9"/>
    <w:rsid w:val="3D3B5244"/>
    <w:rsid w:val="3D5E73A0"/>
    <w:rsid w:val="3DA311CF"/>
    <w:rsid w:val="3F0472B2"/>
    <w:rsid w:val="3FEF3DB4"/>
    <w:rsid w:val="3FFC16A7"/>
    <w:rsid w:val="3FFE3BE6"/>
    <w:rsid w:val="40195E38"/>
    <w:rsid w:val="44441FC8"/>
    <w:rsid w:val="447C2400"/>
    <w:rsid w:val="44821D8A"/>
    <w:rsid w:val="465A0FC3"/>
    <w:rsid w:val="46747F38"/>
    <w:rsid w:val="4A163E7E"/>
    <w:rsid w:val="4B874481"/>
    <w:rsid w:val="4B9B1E01"/>
    <w:rsid w:val="4C012134"/>
    <w:rsid w:val="4C6A499E"/>
    <w:rsid w:val="4C906058"/>
    <w:rsid w:val="4D550003"/>
    <w:rsid w:val="505E1120"/>
    <w:rsid w:val="50A27281"/>
    <w:rsid w:val="50E56AA8"/>
    <w:rsid w:val="510E6009"/>
    <w:rsid w:val="51FF09A1"/>
    <w:rsid w:val="52DF675E"/>
    <w:rsid w:val="542B59A1"/>
    <w:rsid w:val="56C5722B"/>
    <w:rsid w:val="57D03318"/>
    <w:rsid w:val="586A6082"/>
    <w:rsid w:val="58EA71E7"/>
    <w:rsid w:val="5A3B341E"/>
    <w:rsid w:val="5A7C5A42"/>
    <w:rsid w:val="5CEA7946"/>
    <w:rsid w:val="5EE64972"/>
    <w:rsid w:val="5FC7DE4C"/>
    <w:rsid w:val="5FC865C4"/>
    <w:rsid w:val="60057E4E"/>
    <w:rsid w:val="60CA1932"/>
    <w:rsid w:val="619A28FC"/>
    <w:rsid w:val="61E939EF"/>
    <w:rsid w:val="620047B2"/>
    <w:rsid w:val="62315E08"/>
    <w:rsid w:val="633E43A1"/>
    <w:rsid w:val="65DA3565"/>
    <w:rsid w:val="667129B4"/>
    <w:rsid w:val="67352783"/>
    <w:rsid w:val="68B2242F"/>
    <w:rsid w:val="69806624"/>
    <w:rsid w:val="6A267F12"/>
    <w:rsid w:val="6AA96E5B"/>
    <w:rsid w:val="6B6370D1"/>
    <w:rsid w:val="6CD539B4"/>
    <w:rsid w:val="6CDA1EF6"/>
    <w:rsid w:val="70C2568B"/>
    <w:rsid w:val="70FE623D"/>
    <w:rsid w:val="71086D06"/>
    <w:rsid w:val="715A2881"/>
    <w:rsid w:val="72A644C8"/>
    <w:rsid w:val="72A85F5F"/>
    <w:rsid w:val="73FA37CC"/>
    <w:rsid w:val="744A3821"/>
    <w:rsid w:val="74D912F5"/>
    <w:rsid w:val="757271F2"/>
    <w:rsid w:val="766935AB"/>
    <w:rsid w:val="771522CE"/>
    <w:rsid w:val="77225552"/>
    <w:rsid w:val="77472A21"/>
    <w:rsid w:val="78D35026"/>
    <w:rsid w:val="792906B2"/>
    <w:rsid w:val="79F86F37"/>
    <w:rsid w:val="7ADC28F3"/>
    <w:rsid w:val="7C1C31EE"/>
    <w:rsid w:val="7C1D310C"/>
    <w:rsid w:val="7D1FF17D"/>
    <w:rsid w:val="7D522A56"/>
    <w:rsid w:val="7D553F27"/>
    <w:rsid w:val="7D9462BA"/>
    <w:rsid w:val="7DC10BF0"/>
    <w:rsid w:val="7E1A1231"/>
    <w:rsid w:val="7F580B3B"/>
    <w:rsid w:val="7F9613D5"/>
    <w:rsid w:val="7FA57090"/>
    <w:rsid w:val="7FCE715C"/>
    <w:rsid w:val="7FCE7565"/>
    <w:rsid w:val="7FFFAC69"/>
    <w:rsid w:val="DCAFFB81"/>
    <w:rsid w:val="F7EEE5BD"/>
    <w:rsid w:val="FC7FF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2"/>
    <w:qFormat/>
    <w:uiPriority w:val="0"/>
    <w:rPr>
      <w:b/>
      <w:bCs/>
    </w:rPr>
  </w:style>
  <w:style w:type="character" w:styleId="9">
    <w:name w:val="annotation reference"/>
    <w:qFormat/>
    <w:uiPriority w:val="0"/>
    <w:rPr>
      <w:sz w:val="21"/>
      <w:szCs w:val="21"/>
    </w:rPr>
  </w:style>
  <w:style w:type="character" w:customStyle="1" w:styleId="10">
    <w:name w:val="批注文字 字符"/>
    <w:link w:val="2"/>
    <w:qFormat/>
    <w:uiPriority w:val="0"/>
    <w:rPr>
      <w:kern w:val="2"/>
      <w:sz w:val="21"/>
      <w:szCs w:val="24"/>
    </w:rPr>
  </w:style>
  <w:style w:type="character" w:customStyle="1" w:styleId="11">
    <w:name w:val="批注框文本 字符"/>
    <w:link w:val="3"/>
    <w:qFormat/>
    <w:uiPriority w:val="0"/>
    <w:rPr>
      <w:kern w:val="2"/>
      <w:sz w:val="18"/>
      <w:szCs w:val="18"/>
    </w:rPr>
  </w:style>
  <w:style w:type="character" w:customStyle="1" w:styleId="12">
    <w:name w:val="批注主题 字符"/>
    <w:link w:val="6"/>
    <w:qFormat/>
    <w:uiPriority w:val="0"/>
    <w:rPr>
      <w:b/>
      <w:bCs/>
      <w:kern w:val="2"/>
      <w:sz w:val="21"/>
      <w:szCs w:val="24"/>
    </w:rPr>
  </w:style>
  <w:style w:type="paragraph" w:customStyle="1" w:styleId="13">
    <w:name w:val="p0"/>
    <w:basedOn w:val="1"/>
    <w:qFormat/>
    <w:uiPriority w:val="0"/>
    <w:pPr>
      <w:widowControl/>
    </w:pPr>
    <w:rPr>
      <w:kern w:val="0"/>
      <w:szCs w:val="21"/>
    </w:rPr>
  </w:style>
  <w:style w:type="paragraph" w:customStyle="1" w:styleId="14">
    <w:name w:val="_Style 13"/>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1621</Words>
  <Characters>1685</Characters>
  <Lines>13</Lines>
  <Paragraphs>3</Paragraphs>
  <TotalTime>4</TotalTime>
  <ScaleCrop>false</ScaleCrop>
  <LinksUpToDate>false</LinksUpToDate>
  <CharactersWithSpaces>1693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2026-04-20T23:03:00Z</dcterms:created>
  <dc:creator>dell</dc:creator>
  <cp:lastModifiedBy>付慧娟</cp:lastModifiedBy>
  <cp:lastPrinted>2018-05-10T01:04:00Z</cp:lastPrinted>
  <dcterms:modified xsi:type="dcterms:W3CDTF">2026-04-30T00:44:13Z</dcterms:modified>
  <dc:title>中南财经政法大学研究生会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A39764B32A584C6EA142F2AB6A6312DD_13</vt:lpwstr>
  </property>
  <property fmtid="{D5CDD505-2E9C-101B-9397-08002B2CF9AE}" pid="4" name="KSOTemplateDocerSaveRecord">
    <vt:lpwstr>eyJoZGlkIjoiNmUwOWU0NjllYWFjOTNmOGQzZjZlZWYwZWEzNWVmZjMifQ==</vt:lpwstr>
  </property>
</Properties>
</file>