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55E20">
      <w:pPr>
        <w:rPr>
          <w:rFonts w:ascii="宋体" w:hAnsi="宋体" w:eastAsia="宋体"/>
          <w:szCs w:val="32"/>
        </w:rPr>
      </w:pPr>
      <w:r>
        <w:rPr>
          <w:rFonts w:hint="eastAsia" w:ascii="宋体" w:hAnsi="宋体" w:eastAsia="宋体"/>
          <w:szCs w:val="32"/>
        </w:rPr>
        <w:t>附件1</w:t>
      </w:r>
    </w:p>
    <w:p w14:paraId="6E72859A">
      <w:pPr>
        <w:jc w:val="center"/>
        <w:rPr>
          <w:rFonts w:ascii="方正小标宋简体" w:hAnsi="方正小标宋简体" w:eastAsia="方正小标宋简体"/>
          <w:szCs w:val="32"/>
        </w:rPr>
      </w:pPr>
      <w:r>
        <w:rPr>
          <w:rFonts w:hint="eastAsia" w:ascii="方正小标宋简体" w:hAnsi="方正小标宋简体" w:eastAsia="方正小标宋简体"/>
          <w:szCs w:val="32"/>
        </w:rPr>
        <w:t>2025年度主题案例主题介绍</w:t>
      </w:r>
    </w:p>
    <w:p w14:paraId="72616BBB">
      <w:pPr>
        <w:ind w:firstLine="640" w:firstLineChars="200"/>
        <w:rPr>
          <w:rFonts w:ascii="黑体" w:hAnsi="黑体" w:eastAsia="黑体"/>
          <w:szCs w:val="32"/>
        </w:rPr>
      </w:pPr>
      <w:r>
        <w:rPr>
          <w:rFonts w:hint="eastAsia" w:ascii="黑体" w:hAnsi="黑体" w:eastAsia="黑体"/>
          <w:szCs w:val="32"/>
        </w:rPr>
        <w:t>1.现代化产业体系</w:t>
      </w:r>
    </w:p>
    <w:p w14:paraId="2D57572D">
      <w:pPr>
        <w:ind w:firstLine="640" w:firstLineChars="200"/>
        <w:rPr>
          <w:rFonts w:hint="eastAsia"/>
          <w:szCs w:val="32"/>
        </w:rPr>
      </w:pPr>
      <w:r>
        <w:rPr>
          <w:rFonts w:hint="eastAsia"/>
          <w:szCs w:val="32"/>
        </w:rPr>
        <w:t>党的二十届四中全会提出，“建设现代化产业体系，巩固壮大实体经济根基。”</w:t>
      </w:r>
      <w:r>
        <w:rPr>
          <w:rFonts w:hint="eastAsia"/>
          <w:szCs w:val="32"/>
          <w:lang w:val="en-US" w:eastAsia="zh-CN"/>
        </w:rPr>
        <w:t xml:space="preserve"> </w:t>
      </w:r>
      <w:r>
        <w:rPr>
          <w:rFonts w:hint="eastAsia"/>
          <w:szCs w:val="32"/>
        </w:rPr>
        <w:t>2025年10月发布的《中共中央关于制定国民经济和社会发展第十五个五年规划的建议》，将“建设现代化产业体系，巩固壮大实体经济根基”列为战略任务之首，提出着力打造新兴支柱产业，并推动量子科技、生物制造、氢能和核聚变能、脑机接口、具身智能、第六代移动通信等未来产业成为新的经济增长点。这些部署凸显了现代化产业体系作为现代化国家物质技术基础的战略地位，是引领高质量发展、塑造国际竞争新优势的核心支撑。“现代化产业体系”主题重点征集有关传统产业高端化、智能化、绿色化转型，战略性新兴产业与未来产业布局，以科技创新推进产业链现代化，数智技术与实体经济深度融合等方面的案例。</w:t>
      </w:r>
    </w:p>
    <w:p w14:paraId="03D21314">
      <w:pPr>
        <w:ind w:firstLine="640" w:firstLineChars="200"/>
        <w:rPr>
          <w:rFonts w:ascii="黑体" w:hAnsi="黑体" w:eastAsia="黑体"/>
          <w:szCs w:val="32"/>
        </w:rPr>
      </w:pPr>
      <w:r>
        <w:rPr>
          <w:rFonts w:hint="eastAsia" w:ascii="黑体" w:hAnsi="黑体" w:eastAsia="黑体"/>
          <w:szCs w:val="32"/>
        </w:rPr>
        <w:t>2.人工智能+</w:t>
      </w:r>
    </w:p>
    <w:p w14:paraId="7E47CC8B">
      <w:pPr>
        <w:ind w:firstLine="640" w:firstLineChars="200"/>
        <w:rPr>
          <w:rFonts w:hint="eastAsia"/>
          <w:szCs w:val="32"/>
        </w:rPr>
      </w:pPr>
      <w:r>
        <w:rPr>
          <w:rFonts w:hint="eastAsia"/>
          <w:szCs w:val="32"/>
        </w:rPr>
        <w:t>国务院《关于深入实施“人工智能+”行动的意见》提出，要推动人工智能与经济社会各行业各领域广泛深度融合，重塑人类生产生活范式，促进生产力革命性跃迁和生产关系深层次变革，加快形成人机协同、跨界融合、共创分享的智能经济和智能社会新形态。中共中央、国务院印发《教育强国建设规划纲要（2024—2035年）》，明确要求以教育数字化开辟发展新赛道、塑造发展新优势，促进人工智能助力教育变革。人工智能是引领新一轮科技革命和产业变革的战略性技术，加快发展新一代人工智能是事关我国能否抓住新一轮科技革命和产业变革机遇的战略问题。“人工智能+”主题重点征集有关人工智能与产业深度融合、赋能社会治理与公共服务创新、伦理规范与法律关系重构、核心技术创新、未来产业孵化以及可持续发展等方面的案例。</w:t>
      </w:r>
    </w:p>
    <w:p w14:paraId="18B99433">
      <w:pPr>
        <w:ind w:firstLine="640" w:firstLineChars="200"/>
        <w:rPr>
          <w:rFonts w:ascii="黑体" w:hAnsi="黑体" w:eastAsia="黑体"/>
          <w:szCs w:val="32"/>
        </w:rPr>
      </w:pPr>
      <w:r>
        <w:rPr>
          <w:rFonts w:hint="eastAsia" w:ascii="黑体" w:hAnsi="黑体" w:eastAsia="黑体"/>
          <w:szCs w:val="32"/>
        </w:rPr>
        <w:t>3.文化创新</w:t>
      </w:r>
    </w:p>
    <w:p w14:paraId="1CED0607">
      <w:pPr>
        <w:ind w:firstLine="640" w:firstLineChars="200"/>
        <w:rPr>
          <w:rFonts w:hint="eastAsia"/>
          <w:szCs w:val="32"/>
        </w:rPr>
      </w:pPr>
      <w:r>
        <w:rPr>
          <w:rFonts w:hint="eastAsia"/>
          <w:szCs w:val="32"/>
        </w:rPr>
        <w:t>党的二十届四中全会提出，“激发</w:t>
      </w:r>
      <w:bookmarkStart w:id="0" w:name="_GoBack"/>
      <w:bookmarkEnd w:id="0"/>
      <w:r>
        <w:rPr>
          <w:rFonts w:hint="eastAsia"/>
          <w:szCs w:val="32"/>
        </w:rPr>
        <w:t>全民族文化创新创造活力，繁荣发展社会主义文化。”习近平总书记强调，“我们要共同倡导重视文明传承和创新，充分挖掘各国历史文化的时代价值，推动各国优秀传统文化在现代化进程中实现创造性转化、创新性发展。”在2025年4月出版的《求是》杂志中，总书记发表重要文章指出，“建设文化强国事关中国式现代化建设全局、中华民族复兴大业和国际竞争力提升。”中华文明具有的创新性，揭示了中华文明历经数千年而生生不息、历久弥新的内在动力，对于我们理解中华文明的特质、坚定文化自信具有重大指导意义。“文化创新”主题重点征集有关加强中华优秀传统文化的创造性转化与创新性发展、构建文化治理体系与能力现代化、推进文化数字化战略与文化遗产永续传承、文化科技融合与新业态培育、提升中华文化国际传播和影响力等方面的案例。</w:t>
      </w:r>
    </w:p>
    <w:p w14:paraId="174E8F75">
      <w:pPr>
        <w:ind w:firstLine="640" w:firstLineChars="200"/>
        <w:rPr>
          <w:rFonts w:ascii="黑体" w:hAnsi="黑体" w:eastAsia="黑体"/>
          <w:szCs w:val="32"/>
        </w:rPr>
      </w:pPr>
      <w:r>
        <w:rPr>
          <w:rFonts w:hint="eastAsia" w:ascii="黑体" w:hAnsi="黑体" w:eastAsia="黑体"/>
          <w:szCs w:val="32"/>
        </w:rPr>
        <w:t>4.走出去</w:t>
      </w:r>
    </w:p>
    <w:p w14:paraId="6FC39DA4">
      <w:pPr>
        <w:ind w:firstLine="640" w:firstLineChars="200"/>
        <w:rPr>
          <w:rFonts w:hint="eastAsia"/>
          <w:szCs w:val="32"/>
        </w:rPr>
      </w:pPr>
      <w:r>
        <w:rPr>
          <w:rFonts w:hint="eastAsia"/>
          <w:szCs w:val="32"/>
        </w:rPr>
        <w:t>习近平总书记指出，“开放是人类文明进步的重要动力，是世界繁荣发展的必由之路。”党的二十届四中全会提出，要扩大高水平对外开放，开创合作共赢新局面，并强调，要积极扩大自主开放，推动贸易创新发展，拓展双向投资合作空间，高质量共建“一带一路”。在当前全球经济格局深刻变革的背景下，中国全方位、多层次的“走出去”实践，不仅推动商品和要素的跨境流动，更致力于标准、规则与治理理念的互联互通，通过共享市场机遇、对接国际标准、贡献中国方案，积极参与全球治理体系改革，塑造国际竞争新优势、推动构建共商共建共享的国际合作新格局。“走出去”主题聚焦新型全球化方向下的实践探索，重点征集企业与文化走出去、技术与创新走出去、服务与品牌走出去、教育与人文走出去、规则与治理走出去等方面的案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60"/>
    <w:rsid w:val="001D52DB"/>
    <w:rsid w:val="00362401"/>
    <w:rsid w:val="005159F1"/>
    <w:rsid w:val="00866560"/>
    <w:rsid w:val="009C518C"/>
    <w:rsid w:val="00A4043B"/>
    <w:rsid w:val="4C6E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111"/>
    <w:basedOn w:val="1"/>
    <w:link w:val="7"/>
    <w:qFormat/>
    <w:uiPriority w:val="0"/>
    <w:pPr>
      <w:snapToGrid w:val="0"/>
      <w:spacing w:line="500" w:lineRule="exact"/>
      <w:ind w:firstLine="643" w:firstLineChars="200"/>
    </w:pPr>
    <w:rPr>
      <w:rFonts w:ascii="仿宋" w:hAnsi="仿宋" w:eastAsia="方正小标宋简体" w:cs="仿宋"/>
      <w:szCs w:val="32"/>
    </w:rPr>
  </w:style>
  <w:style w:type="character" w:customStyle="1" w:styleId="7">
    <w:name w:val="111 字符"/>
    <w:basedOn w:val="5"/>
    <w:link w:val="6"/>
    <w:uiPriority w:val="0"/>
    <w:rPr>
      <w:rFonts w:ascii="仿宋" w:hAnsi="仿宋" w:eastAsia="方正小标宋简体" w:cs="仿宋"/>
      <w:sz w:val="32"/>
      <w:szCs w:val="32"/>
    </w:rPr>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1363</Words>
  <Characters>1383</Characters>
  <Lines>9</Lines>
  <Paragraphs>2</Paragraphs>
  <TotalTime>4</TotalTime>
  <ScaleCrop>false</ScaleCrop>
  <LinksUpToDate>false</LinksUpToDate>
  <CharactersWithSpaces>1384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2025-11-17T09:28:00Z</dcterms:created>
  <dc:creator>张景瑜</dc:creator>
  <cp:lastModifiedBy>卫瑾</cp:lastModifiedBy>
  <dcterms:modified xsi:type="dcterms:W3CDTF">2025-11-17T10:21:07Z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eyJoZGlkIjoiNTEwZjg3Zjg4ZDhjZTNlMDhiYjZkNzk2M2QyMjQzZmMiLCJ1c2VySWQiOiIxNTM1MjczNTIzIn0=</vt:lpwstr>
  </property>
  <property fmtid="{D5CDD505-2E9C-101B-9397-08002B2CF9AE}" pid="3" name="KSOProductBuildVer">
    <vt:lpwstr>2052-12.1.0.21541</vt:lpwstr>
  </property>
  <property fmtid="{D5CDD505-2E9C-101B-9397-08002B2CF9AE}" pid="4" name="ICV">
    <vt:lpwstr>DB2456015A294D38986C3154260A5E3A_12</vt:lpwstr>
  </property>
</Properties>
</file>